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宋体" w:hAnsi="宋体" w:eastAsia="宋体" w:cs="宋体"/>
          <w:sz w:val="36"/>
          <w:szCs w:val="44"/>
        </w:rPr>
      </w:pPr>
      <w:bookmarkStart w:id="0" w:name="_Toc31363"/>
      <w:r>
        <w:rPr>
          <w:rFonts w:hint="eastAsia" w:ascii="宋体" w:hAnsi="宋体" w:eastAsia="宋体" w:cs="宋体"/>
          <w:sz w:val="36"/>
          <w:szCs w:val="44"/>
        </w:rPr>
        <w:t>绿色信贷对企业绿色技术创新的影响——基于上市公司面板数据</w:t>
      </w:r>
      <w:r>
        <w:rPr>
          <w:rStyle w:val="24"/>
          <w:rFonts w:hint="eastAsia" w:ascii="宋体" w:hAnsi="宋体" w:eastAsia="宋体" w:cs="宋体"/>
          <w:b w:val="0"/>
          <w:bCs w:val="0"/>
          <w:sz w:val="36"/>
          <w:szCs w:val="56"/>
          <w:u w:val="none"/>
        </w:rPr>
        <w:footnoteReference w:id="0"/>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Times New Roman" w:hAnsi="Times New Roman" w:eastAsia="宋体" w:cs="Times New Roman"/>
          <w:sz w:val="21"/>
          <w:szCs w:val="22"/>
        </w:rPr>
      </w:pP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Times New Roman" w:hAnsi="Times New Roman" w:eastAsia="宋体" w:cs="Times New Roman"/>
          <w:sz w:val="21"/>
          <w:szCs w:val="22"/>
        </w:rPr>
      </w:pPr>
    </w:p>
    <w:p>
      <w:pPr>
        <w:bidi w:val="0"/>
        <w:jc w:val="lef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杨哲</w:t>
      </w:r>
      <w:r>
        <w:rPr>
          <w:rStyle w:val="24"/>
          <w:rFonts w:hint="eastAsia" w:ascii="宋体" w:hAnsi="宋体" w:eastAsia="宋体" w:cs="宋体"/>
          <w:b w:val="0"/>
          <w:bCs w:val="0"/>
          <w:sz w:val="28"/>
          <w:szCs w:val="40"/>
          <w:lang w:val="en-US" w:eastAsia="zh-CN"/>
        </w:rPr>
        <w:footnoteReference w:id="1"/>
      </w:r>
      <w:r>
        <w:rPr>
          <w:rFonts w:hint="eastAsia" w:ascii="宋体" w:hAnsi="宋体" w:eastAsia="宋体" w:cs="宋体"/>
          <w:sz w:val="28"/>
          <w:szCs w:val="36"/>
          <w:lang w:val="en-US" w:eastAsia="zh-CN"/>
        </w:rPr>
        <w:t xml:space="preserve"> 金则杨</w:t>
      </w:r>
      <w:r>
        <w:rPr>
          <w:rStyle w:val="24"/>
          <w:rFonts w:hint="eastAsia" w:ascii="宋体" w:hAnsi="宋体" w:eastAsia="宋体" w:cs="宋体"/>
          <w:b w:val="0"/>
          <w:bCs w:val="0"/>
          <w:sz w:val="28"/>
          <w:szCs w:val="40"/>
          <w:lang w:val="en-US" w:eastAsia="zh-CN"/>
        </w:rPr>
        <w:footnoteReference w:id="2"/>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Times New Roman" w:hAnsi="Times New Roman" w:eastAsia="宋体" w:cs="Times New Roman"/>
          <w:sz w:val="21"/>
          <w:szCs w:val="22"/>
        </w:rPr>
      </w:pP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sz w:val="21"/>
          <w:szCs w:val="21"/>
        </w:rPr>
      </w:pPr>
      <w:r>
        <w:rPr>
          <w:rFonts w:hint="eastAsia"/>
          <w:b/>
          <w:bCs/>
          <w:sz w:val="21"/>
          <w:szCs w:val="21"/>
        </w:rPr>
        <w:t>摘要：</w:t>
      </w:r>
      <w:r>
        <w:rPr>
          <w:rFonts w:hint="eastAsia"/>
          <w:sz w:val="21"/>
          <w:szCs w:val="21"/>
        </w:rPr>
        <w:t>绿色信贷是我国近年来大力推进的一项金融政策，</w:t>
      </w:r>
      <w:r>
        <w:rPr>
          <w:rFonts w:hint="eastAsia"/>
          <w:sz w:val="21"/>
          <w:szCs w:val="21"/>
          <w:lang w:val="en-US" w:eastAsia="zh-CN"/>
        </w:rPr>
        <w:t>在</w:t>
      </w:r>
      <w:r>
        <w:rPr>
          <w:rFonts w:hint="eastAsia"/>
          <w:sz w:val="21"/>
          <w:szCs w:val="21"/>
        </w:rPr>
        <w:t>促进产业转型</w:t>
      </w:r>
      <w:r>
        <w:rPr>
          <w:rFonts w:hint="eastAsia"/>
          <w:sz w:val="21"/>
          <w:szCs w:val="21"/>
          <w:lang w:val="en-US" w:eastAsia="zh-CN"/>
        </w:rPr>
        <w:t>升级</w:t>
      </w:r>
      <w:r>
        <w:rPr>
          <w:rFonts w:hint="eastAsia"/>
          <w:sz w:val="21"/>
          <w:szCs w:val="21"/>
        </w:rPr>
        <w:t>、推动经济</w:t>
      </w:r>
      <w:r>
        <w:rPr>
          <w:rFonts w:hint="eastAsia"/>
          <w:sz w:val="21"/>
          <w:szCs w:val="21"/>
          <w:lang w:val="en-US" w:eastAsia="zh-CN"/>
        </w:rPr>
        <w:t>绿色</w:t>
      </w:r>
      <w:r>
        <w:rPr>
          <w:rFonts w:hint="eastAsia"/>
          <w:sz w:val="21"/>
          <w:szCs w:val="21"/>
        </w:rPr>
        <w:t>发展</w:t>
      </w:r>
      <w:r>
        <w:rPr>
          <w:rFonts w:hint="eastAsia"/>
          <w:sz w:val="21"/>
          <w:szCs w:val="21"/>
          <w:lang w:val="en-US" w:eastAsia="zh-CN"/>
        </w:rPr>
        <w:t>方面发挥着重要作用</w:t>
      </w:r>
      <w:r>
        <w:rPr>
          <w:rFonts w:hint="eastAsia"/>
          <w:sz w:val="21"/>
          <w:szCs w:val="21"/>
          <w:lang w:eastAsia="zh-CN"/>
        </w:rPr>
        <w:t>。</w:t>
      </w:r>
      <w:r>
        <w:rPr>
          <w:rFonts w:hint="eastAsia"/>
          <w:sz w:val="21"/>
          <w:szCs w:val="21"/>
        </w:rPr>
        <w:t>本文以2012年《绿色信贷指引》政策的发布为准自然实验，选取2009—2020年A股上市公司的面板数据为样本，采用双重差分法实证研究绿色信贷对于绿色技术创新的影响。实证结果显示，绿色信贷政策的发布显著提高了企业的绿色技术创新水平，且对于重污染企业的促进作用更为明显。但进一步采取异质性检验后发现，相较于东部地区企业、非国有企业和小规模企业，绿色信贷对中西部地区企业、国有企业、大规模企业绿色技术创新的促进作用较小。最后，为了帮助绿色信贷更好地发挥效用，本文基于政府、银行、企业三个方面考虑，为完善绿色信贷政策、推动企业绿色技术创新提出了相关建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sz w:val="21"/>
          <w:szCs w:val="21"/>
        </w:rPr>
      </w:pPr>
      <w:r>
        <w:rPr>
          <w:rFonts w:hint="eastAsia"/>
          <w:b/>
          <w:bCs/>
          <w:sz w:val="21"/>
          <w:szCs w:val="21"/>
        </w:rPr>
        <w:t>关键词：</w:t>
      </w:r>
      <w:r>
        <w:rPr>
          <w:rFonts w:hint="eastAsia"/>
          <w:sz w:val="21"/>
          <w:szCs w:val="21"/>
        </w:rPr>
        <w:t>绿色信贷；绿色技术创新；双重差分法</w:t>
      </w:r>
    </w:p>
    <w:p>
      <w:pPr>
        <w:pStyle w:val="39"/>
        <w:keepNext w:val="0"/>
        <w:keepLines w:val="0"/>
        <w:pageBreakBefore w:val="0"/>
        <w:kinsoku/>
        <w:wordWrap/>
        <w:overflowPunct/>
        <w:topLinePunct w:val="0"/>
        <w:bidi w:val="0"/>
        <w:snapToGrid/>
        <w:spacing w:line="360" w:lineRule="auto"/>
        <w:ind w:firstLine="420" w:firstLineChars="200"/>
        <w:jc w:val="both"/>
        <w:textAlignment w:val="auto"/>
        <w:rPr>
          <w:rFonts w:hint="eastAsia" w:ascii="Times New Roman" w:hAnsi="Times New Roman" w:eastAsia="宋体" w:cs="宋体"/>
          <w:b w:val="0"/>
          <w:bCs w:val="0"/>
          <w:sz w:val="21"/>
          <w:szCs w:val="21"/>
        </w:rPr>
      </w:pPr>
    </w:p>
    <w:p>
      <w:pP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p>
      <w:pPr>
        <w:keepNext w:val="0"/>
        <w:keepLines w:val="0"/>
        <w:pageBreakBefore w:val="0"/>
        <w:kinsoku/>
        <w:wordWrap/>
        <w:overflowPunct/>
        <w:topLinePunct w:val="0"/>
        <w:bidi w:val="0"/>
        <w:spacing w:line="360" w:lineRule="auto"/>
        <w:jc w:val="center"/>
        <w:textAlignment w:val="auto"/>
        <w:rPr>
          <w:rFonts w:hint="eastAsia"/>
          <w:b/>
          <w:bCs/>
          <w:sz w:val="28"/>
          <w:szCs w:val="28"/>
          <w:lang w:val="en-US" w:eastAsia="zh-CN"/>
        </w:rPr>
      </w:pPr>
      <w:r>
        <w:rPr>
          <w:rFonts w:hint="eastAsia"/>
          <w:b/>
          <w:bCs/>
          <w:sz w:val="28"/>
          <w:szCs w:val="28"/>
          <w:lang w:val="en-US" w:eastAsia="zh-CN"/>
        </w:rPr>
        <w:t xml:space="preserve">The Impact of Green Credit on Enterprise Green Technology Innovation </w:t>
      </w:r>
      <w:r>
        <w:rPr>
          <w:rFonts w:hint="default" w:ascii="Times New Roman" w:hAnsi="Times New Roman" w:cs="Times New Roman"/>
          <w:b/>
          <w:bCs/>
          <w:sz w:val="28"/>
          <w:szCs w:val="28"/>
        </w:rPr>
        <w:t>——</w:t>
      </w:r>
      <w:r>
        <w:rPr>
          <w:rFonts w:hint="eastAsia"/>
          <w:b/>
          <w:bCs/>
          <w:sz w:val="28"/>
          <w:szCs w:val="28"/>
          <w:lang w:val="en-US" w:eastAsia="zh-CN"/>
        </w:rPr>
        <w:t xml:space="preserve"> Based on the Panel Data of Listed Companies</w:t>
      </w:r>
    </w:p>
    <w:p>
      <w:pPr>
        <w:keepNext w:val="0"/>
        <w:keepLines w:val="0"/>
        <w:pageBreakBefore w:val="0"/>
        <w:kinsoku/>
        <w:wordWrap/>
        <w:overflowPunct/>
        <w:topLinePunct w:val="0"/>
        <w:bidi w:val="0"/>
        <w:spacing w:line="360" w:lineRule="auto"/>
        <w:jc w:val="center"/>
        <w:textAlignment w:val="auto"/>
        <w:rPr>
          <w:rFonts w:hint="eastAsia"/>
          <w:sz w:val="24"/>
          <w:szCs w:val="24"/>
          <w:lang w:val="en-US" w:eastAsia="zh-CN"/>
        </w:rPr>
      </w:pPr>
      <w:r>
        <w:rPr>
          <w:rFonts w:hint="eastAsia"/>
          <w:sz w:val="24"/>
          <w:szCs w:val="24"/>
          <w:lang w:val="en-US" w:eastAsia="zh-CN"/>
        </w:rPr>
        <w:t xml:space="preserve">Zhe YANG </w:t>
      </w:r>
      <w:r>
        <w:rPr>
          <w:rFonts w:eastAsiaTheme="minorEastAsia"/>
          <w:b w:val="0"/>
          <w:bCs/>
          <w:sz w:val="24"/>
          <w:szCs w:val="22"/>
          <w:vertAlign w:val="superscript"/>
        </w:rPr>
        <w:t>1</w:t>
      </w:r>
      <w:r>
        <w:rPr>
          <w:rFonts w:hint="eastAsia" w:eastAsiaTheme="minorEastAsia"/>
          <w:b w:val="0"/>
          <w:bCs/>
          <w:sz w:val="24"/>
          <w:szCs w:val="22"/>
          <w:lang w:eastAsia="zh-CN"/>
        </w:rPr>
        <w:t>,</w:t>
      </w:r>
      <w:r>
        <w:rPr>
          <w:rFonts w:hint="eastAsia" w:eastAsiaTheme="minorEastAsia"/>
          <w:b w:val="0"/>
          <w:bCs/>
          <w:sz w:val="24"/>
          <w:szCs w:val="22"/>
          <w:lang w:val="en-US" w:eastAsia="zh-CN"/>
        </w:rPr>
        <w:t xml:space="preserve"> </w:t>
      </w:r>
      <w:r>
        <w:rPr>
          <w:rFonts w:hint="eastAsia"/>
          <w:sz w:val="24"/>
          <w:szCs w:val="24"/>
          <w:lang w:val="en-US" w:eastAsia="zh-CN"/>
        </w:rPr>
        <w:t xml:space="preserve">Zeyang JIN </w:t>
      </w:r>
      <w:r>
        <w:rPr>
          <w:rFonts w:eastAsiaTheme="minorEastAsia"/>
          <w:b w:val="0"/>
          <w:bCs/>
          <w:sz w:val="24"/>
          <w:szCs w:val="22"/>
          <w:vertAlign w:val="superscript"/>
        </w:rPr>
        <w:t>1</w:t>
      </w:r>
    </w:p>
    <w:p>
      <w:pPr>
        <w:jc w:val="center"/>
        <w:rPr>
          <w:rFonts w:ascii="Times New Roman" w:hAnsi="Times New Roman"/>
          <w:sz w:val="24"/>
          <w:szCs w:val="24"/>
        </w:rPr>
      </w:pPr>
      <w:r>
        <w:rPr>
          <w:rFonts w:ascii="Times New Roman" w:hAnsi="Times New Roman"/>
          <w:sz w:val="24"/>
          <w:szCs w:val="24"/>
        </w:rPr>
        <w:t>(1. School of Finance and Business, Shanghai Normal University, Shanghai 20023</w:t>
      </w:r>
      <w:r>
        <w:rPr>
          <w:rFonts w:hint="eastAsia"/>
          <w:sz w:val="24"/>
          <w:szCs w:val="24"/>
          <w:lang w:val="en-US" w:eastAsia="zh-CN"/>
        </w:rPr>
        <w:t>3</w:t>
      </w:r>
      <w:r>
        <w:rPr>
          <w:rFonts w:ascii="Times New Roman" w:hAnsi="Times New Roman"/>
          <w:sz w:val="24"/>
          <w:szCs w:val="24"/>
        </w:rPr>
        <w:t>, China)</w:t>
      </w:r>
    </w:p>
    <w:p>
      <w:pPr>
        <w:jc w:val="center"/>
        <w:rPr>
          <w:rFonts w:hint="eastAsia" w:ascii="Times New Roman" w:hAnsi="Times New Roman"/>
          <w:sz w:val="24"/>
          <w:szCs w:val="24"/>
          <w:lang w:val="en-US" w:eastAsia="zh-CN"/>
        </w:rPr>
      </w:pPr>
    </w:p>
    <w:p>
      <w:pPr>
        <w:jc w:val="center"/>
        <w:rPr>
          <w:rFonts w:hint="eastAsia" w:ascii="Times New Roman" w:hAnsi="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ascii="Times New Roman" w:hAnsi="Times New Roman"/>
          <w:b/>
        </w:rPr>
        <w:t>Abstract：</w:t>
      </w:r>
      <w:r>
        <w:rPr>
          <w:rFonts w:hint="eastAsia"/>
          <w:lang w:val="en-US" w:eastAsia="zh-CN"/>
        </w:rPr>
        <w:t>Green credit is a financial policy vigorously promoted in China in recent years, which plays an important role in promoting industrial transformation and upgrading and promoting green economic development. Based on the quasi natural experiment of the release of green credit guidelines in 2012, this paper selects the panel data of A-share listed companies from 2009 to 2020 as a sample, and uses Difference-in-Difference to empirically study the impact of green credit on green technology innovation. The empirical results show that the release of green credit policy significantly improves the level of enterprise green technology innovation, and has a more obvious promoting effect on heavily polluting enterprises. However, after further heterogeneity test, it is found that compared with enterprises in the eastern region, non-state-owned enterprises and small-scale enterprises, green credit has less impact on level of green technology innovation of enterprises in the central and Western Regions, state-owned enterprises and large-scale enterprises. Finally, in order to help green credit play a better role, this paper puts forward relevant suggestions for improving green credit policies and promoting enterprise green technology innovation based on the consideration of the government, banks and enterprises.</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Key Words:</w:t>
      </w:r>
      <w:r>
        <w:rPr>
          <w:rFonts w:hint="eastAsia"/>
          <w:lang w:val="en-US" w:eastAsia="zh-CN"/>
        </w:rPr>
        <w:t xml:space="preserve"> Green Credit; Green Technology Innovation; Difference-in-Difference</w:t>
      </w:r>
    </w:p>
    <w:p>
      <w:pPr>
        <w:pStyle w:val="39"/>
        <w:keepNext w:val="0"/>
        <w:keepLines w:val="0"/>
        <w:pageBreakBefore w:val="0"/>
        <w:kinsoku/>
        <w:wordWrap/>
        <w:overflowPunct/>
        <w:topLinePunct w:val="0"/>
        <w:bidi w:val="0"/>
        <w:snapToGrid/>
        <w:spacing w:line="360" w:lineRule="auto"/>
        <w:ind w:firstLine="420" w:firstLineChars="200"/>
        <w:jc w:val="both"/>
        <w:textAlignment w:val="auto"/>
        <w:rPr>
          <w:rFonts w:hint="eastAsia" w:ascii="Times New Roman" w:hAnsi="Times New Roman" w:eastAsia="宋体" w:cs="宋体"/>
          <w:b w:val="0"/>
          <w:bCs w:val="0"/>
          <w:sz w:val="21"/>
          <w:szCs w:val="21"/>
        </w:rPr>
      </w:pPr>
    </w:p>
    <w:p>
      <w:pP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p>
      <w:pPr>
        <w:pStyle w:val="39"/>
        <w:bidi w:val="0"/>
        <w:rPr>
          <w:rFonts w:hint="eastAsia"/>
          <w:sz w:val="28"/>
          <w:szCs w:val="28"/>
        </w:rPr>
      </w:pPr>
      <w:r>
        <w:rPr>
          <w:rFonts w:hint="eastAsia"/>
          <w:sz w:val="28"/>
          <w:szCs w:val="28"/>
          <w:lang w:val="en-US" w:eastAsia="zh-CN"/>
        </w:rPr>
        <w:t>一</w:t>
      </w:r>
      <w:r>
        <w:rPr>
          <w:rFonts w:hint="eastAsia"/>
          <w:sz w:val="28"/>
          <w:szCs w:val="28"/>
        </w:rPr>
        <w:t>、引言</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改革开放以来，我国坚持以经济建设为中心，取得了举世瞩目的发展成就，但伴随而生的粗放型增长模式也对自然环境造成了巨大污染和破坏。对此，党和国家采取行动，致力于改变传统的粗放型经济增长模式，向着集约化、可持续化发展目标不断迈进。金融政策是助推我国经济发展实现绿色转型的一项重要因素。我国有关环境保护的金融政策起源于1995年中国人民银行发布的《关于贯彻信贷政策与加强环境保护工作有关问题的通知》，该通知规定金融信贷的发放需要结合环境评估结果。2007年，我国制定了《关于落实环保政策法规防范信贷风险的意见》，要求信贷发放要为环境保护提供支撑，并尽力规避信贷风险。2012年，我国发布《绿色信贷指引》，要求银行金融机构从战略高度推进绿色信贷的实施，加大对绿色经济、低碳经济、循环经济的支持，防范环境风险和社会风险，提升自身的环境和社会表现；同时提出要完善绿色信贷政策制度及能力建设、强化组织管理、流程管理、内控管理与信息披露机制，并由银监会负责监督检查。自此，我国绿色信贷政策进入到了规范化的新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 xml:space="preserve">绿色信贷的内涵来源于绿色金融，是以金融工具为手段，以经济和环境协调发展为目的的环境规制政策（S. Labatt </w:t>
      </w:r>
      <w:r>
        <w:rPr>
          <w:sz w:val="21"/>
          <w:szCs w:val="21"/>
        </w:rPr>
        <w:t>and</w:t>
      </w:r>
      <w:r>
        <w:rPr>
          <w:rFonts w:hint="eastAsia"/>
          <w:sz w:val="21"/>
          <w:szCs w:val="21"/>
          <w:lang w:val="en-US" w:eastAsia="zh-CN"/>
        </w:rPr>
        <w:t xml:space="preserve"> </w:t>
      </w:r>
      <w:r>
        <w:rPr>
          <w:rFonts w:hint="eastAsia"/>
          <w:sz w:val="21"/>
          <w:szCs w:val="21"/>
        </w:rPr>
        <w:t>V</w:t>
      </w:r>
      <w:r>
        <w:rPr>
          <w:rFonts w:hint="eastAsia"/>
          <w:sz w:val="21"/>
          <w:szCs w:val="21"/>
          <w:lang w:val="en-US" w:eastAsia="zh-CN"/>
        </w:rPr>
        <w:t>.</w:t>
      </w:r>
      <w:r>
        <w:rPr>
          <w:rFonts w:hint="eastAsia"/>
          <w:sz w:val="21"/>
          <w:szCs w:val="21"/>
        </w:rPr>
        <w:t xml:space="preserve"> W</w:t>
      </w:r>
      <w:r>
        <w:rPr>
          <w:rFonts w:hint="eastAsia"/>
          <w:sz w:val="21"/>
          <w:szCs w:val="21"/>
          <w:lang w:val="en-US" w:eastAsia="zh-CN"/>
        </w:rPr>
        <w:t>.</w:t>
      </w:r>
      <w:r>
        <w:rPr>
          <w:rFonts w:hint="eastAsia"/>
          <w:sz w:val="21"/>
          <w:szCs w:val="21"/>
        </w:rPr>
        <w:t xml:space="preserve"> Maclaren</w:t>
      </w:r>
      <w:r>
        <w:rPr>
          <w:rFonts w:hint="eastAsia"/>
          <w:sz w:val="21"/>
          <w:szCs w:val="21"/>
          <w:lang w:val="en-US" w:eastAsia="zh-CN"/>
        </w:rPr>
        <w:t>，1998</w:t>
      </w:r>
      <w:r>
        <w:rPr>
          <w:rFonts w:hint="eastAsia"/>
          <w:sz w:val="21"/>
          <w:szCs w:val="21"/>
          <w:vertAlign w:val="superscript"/>
          <w:lang w:val="zh-CN"/>
        </w:rPr>
        <w:t>[</w:t>
      </w:r>
      <w:r>
        <w:rPr>
          <w:rFonts w:hint="eastAsia"/>
          <w:sz w:val="21"/>
          <w:szCs w:val="21"/>
          <w:vertAlign w:val="superscript"/>
          <w:lang w:val="en-US" w:eastAsia="zh-CN"/>
        </w:rPr>
        <w:t>1</w:t>
      </w:r>
      <w:r>
        <w:rPr>
          <w:rFonts w:hint="eastAsia"/>
          <w:sz w:val="21"/>
          <w:szCs w:val="21"/>
          <w:vertAlign w:val="superscript"/>
          <w:lang w:val="zh-CN"/>
        </w:rPr>
        <w:t>]</w:t>
      </w:r>
      <w:r>
        <w:rPr>
          <w:rFonts w:hint="eastAsia"/>
          <w:sz w:val="21"/>
          <w:szCs w:val="21"/>
          <w:lang w:val="en-US" w:eastAsia="zh-CN"/>
        </w:rPr>
        <w:t xml:space="preserve">；Paul Thompson </w:t>
      </w:r>
      <w:r>
        <w:rPr>
          <w:sz w:val="21"/>
          <w:szCs w:val="21"/>
        </w:rPr>
        <w:t>and</w:t>
      </w:r>
      <w:r>
        <w:rPr>
          <w:rFonts w:hint="eastAsia"/>
          <w:sz w:val="21"/>
          <w:szCs w:val="21"/>
          <w:lang w:val="en-US" w:eastAsia="zh-CN"/>
        </w:rPr>
        <w:t xml:space="preserve"> </w:t>
      </w:r>
      <w:r>
        <w:rPr>
          <w:rFonts w:hint="eastAsia"/>
          <w:sz w:val="21"/>
          <w:szCs w:val="21"/>
        </w:rPr>
        <w:t>Christopher J</w:t>
      </w:r>
      <w:r>
        <w:rPr>
          <w:rFonts w:hint="eastAsia"/>
          <w:sz w:val="21"/>
          <w:szCs w:val="21"/>
          <w:lang w:val="en-US" w:eastAsia="zh-CN"/>
        </w:rPr>
        <w:t>.</w:t>
      </w:r>
      <w:r>
        <w:rPr>
          <w:rFonts w:hint="eastAsia"/>
          <w:sz w:val="21"/>
          <w:szCs w:val="21"/>
        </w:rPr>
        <w:t xml:space="preserve"> Cowton</w:t>
      </w:r>
      <w:r>
        <w:rPr>
          <w:rFonts w:hint="eastAsia"/>
          <w:sz w:val="21"/>
          <w:szCs w:val="21"/>
          <w:lang w:val="en-US" w:eastAsia="zh-CN"/>
        </w:rPr>
        <w:t>，2003</w:t>
      </w:r>
      <w:r>
        <w:rPr>
          <w:rFonts w:hint="eastAsia"/>
          <w:sz w:val="21"/>
          <w:szCs w:val="21"/>
          <w:vertAlign w:val="superscript"/>
          <w:lang w:val="zh-CN"/>
        </w:rPr>
        <w:t>[</w:t>
      </w:r>
      <w:r>
        <w:rPr>
          <w:rFonts w:hint="eastAsia"/>
          <w:sz w:val="21"/>
          <w:szCs w:val="21"/>
          <w:vertAlign w:val="superscript"/>
          <w:lang w:val="en-US" w:eastAsia="zh-CN"/>
        </w:rPr>
        <w:t>2</w:t>
      </w:r>
      <w:r>
        <w:rPr>
          <w:rFonts w:hint="eastAsia"/>
          <w:sz w:val="21"/>
          <w:szCs w:val="21"/>
          <w:vertAlign w:val="superscript"/>
          <w:lang w:val="zh-CN"/>
        </w:rPr>
        <w:t>]</w:t>
      </w:r>
      <w:r>
        <w:rPr>
          <w:rFonts w:hint="eastAsia"/>
          <w:sz w:val="21"/>
          <w:szCs w:val="21"/>
          <w:lang w:val="en-US" w:eastAsia="zh-CN"/>
        </w:rPr>
        <w:t>；</w:t>
      </w:r>
      <w:r>
        <w:rPr>
          <w:rFonts w:hint="eastAsia"/>
          <w:sz w:val="21"/>
          <w:szCs w:val="21"/>
        </w:rPr>
        <w:t>安伟</w:t>
      </w:r>
      <w:r>
        <w:rPr>
          <w:rFonts w:hint="eastAsia"/>
          <w:sz w:val="21"/>
          <w:szCs w:val="21"/>
          <w:lang w:eastAsia="zh-CN"/>
        </w:rPr>
        <w:t>，</w:t>
      </w:r>
      <w:r>
        <w:rPr>
          <w:rFonts w:hint="eastAsia"/>
          <w:sz w:val="21"/>
          <w:szCs w:val="21"/>
          <w:lang w:val="en-US" w:eastAsia="zh-CN"/>
        </w:rPr>
        <w:t>2008</w:t>
      </w:r>
      <w:r>
        <w:rPr>
          <w:rFonts w:hint="eastAsia"/>
          <w:sz w:val="21"/>
          <w:szCs w:val="21"/>
          <w:vertAlign w:val="superscript"/>
          <w:lang w:val="zh-CN"/>
        </w:rPr>
        <w:t>[</w:t>
      </w:r>
      <w:r>
        <w:rPr>
          <w:rFonts w:hint="eastAsia"/>
          <w:sz w:val="21"/>
          <w:szCs w:val="21"/>
          <w:vertAlign w:val="superscript"/>
          <w:lang w:val="en-US" w:eastAsia="zh-CN"/>
        </w:rPr>
        <w:t>3</w:t>
      </w:r>
      <w:r>
        <w:rPr>
          <w:rFonts w:hint="eastAsia"/>
          <w:sz w:val="21"/>
          <w:szCs w:val="21"/>
          <w:vertAlign w:val="superscript"/>
          <w:lang w:val="zh-CN"/>
        </w:rPr>
        <w:t>]</w:t>
      </w:r>
      <w:r>
        <w:rPr>
          <w:rFonts w:hint="eastAsia"/>
          <w:sz w:val="21"/>
          <w:szCs w:val="21"/>
          <w:lang w:val="en-US" w:eastAsia="zh-CN"/>
        </w:rPr>
        <w:t>）。近年来，我国绿色信贷规模持续增长，截至2021年9月末，我国21家主要银行的绿色信贷余额达到14.08万亿元</w:t>
      </w:r>
      <w:r>
        <w:rPr>
          <w:rStyle w:val="24"/>
          <w:rFonts w:hint="eastAsia" w:ascii="Times New Roman" w:hAnsi="Times New Roman" w:eastAsia="宋体"/>
          <w:sz w:val="21"/>
          <w:szCs w:val="21"/>
          <w:lang w:val="en-US" w:eastAsia="zh-CN"/>
        </w:rPr>
        <w:footnoteReference w:id="3"/>
      </w:r>
      <w:r>
        <w:rPr>
          <w:rFonts w:hint="eastAsia"/>
          <w:sz w:val="21"/>
          <w:szCs w:val="21"/>
          <w:lang w:val="en-US" w:eastAsia="zh-CN"/>
        </w:rPr>
        <w:t>，占据整个绿色金融市场的九成以上，因此其相关研究也日益丰富。在实施成效上，现有研究聚焦于商业银行绩效、产业结构升级等领域，认为绿色信贷一方面对商业银行的绩效存在正向作用，有助于降低银行的信贷风险（何德旭和张雪兰，2007</w:t>
      </w:r>
      <w:r>
        <w:rPr>
          <w:rFonts w:hint="eastAsia"/>
          <w:sz w:val="21"/>
          <w:szCs w:val="21"/>
          <w:vertAlign w:val="superscript"/>
          <w:lang w:val="zh-CN"/>
        </w:rPr>
        <w:t>[</w:t>
      </w:r>
      <w:r>
        <w:rPr>
          <w:rFonts w:hint="eastAsia"/>
          <w:sz w:val="21"/>
          <w:szCs w:val="21"/>
          <w:vertAlign w:val="superscript"/>
          <w:lang w:val="en-US" w:eastAsia="zh-CN"/>
        </w:rPr>
        <w:t>4</w:t>
      </w:r>
      <w:r>
        <w:rPr>
          <w:rFonts w:hint="eastAsia"/>
          <w:sz w:val="21"/>
          <w:szCs w:val="21"/>
          <w:vertAlign w:val="superscript"/>
          <w:lang w:val="zh-CN"/>
        </w:rPr>
        <w:t>]</w:t>
      </w:r>
      <w:r>
        <w:rPr>
          <w:rFonts w:hint="eastAsia"/>
          <w:sz w:val="21"/>
          <w:szCs w:val="21"/>
          <w:lang w:val="en-US" w:eastAsia="zh-CN"/>
        </w:rPr>
        <w:t>；孙光林等，2017</w:t>
      </w:r>
      <w:r>
        <w:rPr>
          <w:rFonts w:hint="eastAsia"/>
          <w:sz w:val="21"/>
          <w:szCs w:val="21"/>
          <w:vertAlign w:val="superscript"/>
          <w:lang w:val="zh-CN"/>
        </w:rPr>
        <w:t>[</w:t>
      </w:r>
      <w:r>
        <w:rPr>
          <w:rFonts w:hint="eastAsia"/>
          <w:sz w:val="21"/>
          <w:szCs w:val="21"/>
          <w:vertAlign w:val="superscript"/>
          <w:lang w:val="en-US" w:eastAsia="zh-CN"/>
        </w:rPr>
        <w:t>5</w:t>
      </w:r>
      <w:r>
        <w:rPr>
          <w:rFonts w:hint="eastAsia"/>
          <w:sz w:val="21"/>
          <w:szCs w:val="21"/>
          <w:vertAlign w:val="superscript"/>
          <w:lang w:val="zh-CN"/>
        </w:rPr>
        <w:t>]</w:t>
      </w:r>
      <w:r>
        <w:rPr>
          <w:rFonts w:hint="eastAsia"/>
          <w:sz w:val="21"/>
          <w:szCs w:val="21"/>
          <w:lang w:val="en-US" w:eastAsia="zh-CN"/>
        </w:rPr>
        <w:t>）；另一方面也有助于支持环保企业发展，在推动我国产业结构升级上发挥了积极作用（何凌云等，2018</w:t>
      </w:r>
      <w:r>
        <w:rPr>
          <w:rFonts w:hint="eastAsia"/>
          <w:sz w:val="21"/>
          <w:szCs w:val="21"/>
          <w:vertAlign w:val="superscript"/>
          <w:lang w:val="zh-CN"/>
        </w:rPr>
        <w:t>[</w:t>
      </w:r>
      <w:r>
        <w:rPr>
          <w:rFonts w:hint="eastAsia"/>
          <w:sz w:val="21"/>
          <w:szCs w:val="21"/>
          <w:vertAlign w:val="superscript"/>
          <w:lang w:val="en-US" w:eastAsia="zh-CN"/>
        </w:rPr>
        <w:t>6</w:t>
      </w:r>
      <w:r>
        <w:rPr>
          <w:rFonts w:hint="eastAsia"/>
          <w:sz w:val="21"/>
          <w:szCs w:val="21"/>
          <w:vertAlign w:val="superscript"/>
          <w:lang w:val="zh-CN"/>
        </w:rPr>
        <w:t>]</w:t>
      </w:r>
      <w:r>
        <w:rPr>
          <w:rFonts w:hint="eastAsia"/>
          <w:sz w:val="21"/>
          <w:szCs w:val="21"/>
          <w:lang w:val="en-US" w:eastAsia="zh-CN"/>
        </w:rPr>
        <w:t>；谢婷婷和刘锦华，2019</w:t>
      </w:r>
      <w:r>
        <w:rPr>
          <w:rFonts w:hint="eastAsia"/>
          <w:sz w:val="21"/>
          <w:szCs w:val="21"/>
          <w:vertAlign w:val="superscript"/>
          <w:lang w:val="zh-CN"/>
        </w:rPr>
        <w:t>[</w:t>
      </w:r>
      <w:r>
        <w:rPr>
          <w:rFonts w:hint="eastAsia"/>
          <w:sz w:val="21"/>
          <w:szCs w:val="21"/>
          <w:vertAlign w:val="superscript"/>
          <w:lang w:val="en-US" w:eastAsia="zh-CN"/>
        </w:rPr>
        <w:t>7</w:t>
      </w:r>
      <w:r>
        <w:rPr>
          <w:rFonts w:hint="eastAsia"/>
          <w:sz w:val="21"/>
          <w:szCs w:val="21"/>
          <w:vertAlign w:val="superscript"/>
          <w:lang w:val="zh-CN"/>
        </w:rPr>
        <w:t>]</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在推动企业进行绿色技术创新的作用上，目前具体研究绿色信贷影响的文献仍较少，更多的是从政府的环境规制政策、财政补贴的角度考虑（杨洋等，2015</w:t>
      </w:r>
      <w:r>
        <w:rPr>
          <w:rFonts w:hint="eastAsia"/>
          <w:sz w:val="21"/>
          <w:szCs w:val="21"/>
          <w:vertAlign w:val="superscript"/>
          <w:lang w:val="zh-CN"/>
        </w:rPr>
        <w:t>[</w:t>
      </w:r>
      <w:r>
        <w:rPr>
          <w:rFonts w:hint="eastAsia"/>
          <w:sz w:val="21"/>
          <w:szCs w:val="21"/>
          <w:vertAlign w:val="superscript"/>
          <w:lang w:val="en-US" w:eastAsia="zh-CN"/>
        </w:rPr>
        <w:t>8</w:t>
      </w:r>
      <w:r>
        <w:rPr>
          <w:rFonts w:hint="eastAsia"/>
          <w:sz w:val="21"/>
          <w:szCs w:val="21"/>
          <w:vertAlign w:val="superscript"/>
          <w:lang w:val="zh-CN"/>
        </w:rPr>
        <w:t>]</w:t>
      </w:r>
      <w:r>
        <w:rPr>
          <w:rFonts w:hint="eastAsia"/>
          <w:sz w:val="21"/>
          <w:szCs w:val="21"/>
          <w:lang w:val="en-US" w:eastAsia="zh-CN"/>
        </w:rPr>
        <w:t>；N. Droste</w:t>
      </w:r>
      <w:r>
        <w:rPr>
          <w:sz w:val="21"/>
          <w:szCs w:val="21"/>
        </w:rPr>
        <w:t xml:space="preserve"> et al.</w:t>
      </w:r>
      <w:r>
        <w:rPr>
          <w:rFonts w:hint="eastAsia"/>
          <w:sz w:val="21"/>
          <w:szCs w:val="21"/>
          <w:lang w:val="en-US" w:eastAsia="zh-CN"/>
        </w:rPr>
        <w:t>，2016</w:t>
      </w:r>
      <w:r>
        <w:rPr>
          <w:rFonts w:hint="eastAsia"/>
          <w:sz w:val="21"/>
          <w:szCs w:val="21"/>
          <w:vertAlign w:val="superscript"/>
          <w:lang w:val="zh-CN"/>
        </w:rPr>
        <w:t>[</w:t>
      </w:r>
      <w:r>
        <w:rPr>
          <w:rFonts w:hint="eastAsia"/>
          <w:sz w:val="21"/>
          <w:szCs w:val="21"/>
          <w:vertAlign w:val="superscript"/>
          <w:lang w:val="en-US" w:eastAsia="zh-CN"/>
        </w:rPr>
        <w:t>9</w:t>
      </w:r>
      <w:r>
        <w:rPr>
          <w:rFonts w:hint="eastAsia"/>
          <w:sz w:val="21"/>
          <w:szCs w:val="21"/>
          <w:vertAlign w:val="superscript"/>
          <w:lang w:val="zh-CN"/>
        </w:rPr>
        <w:t>]</w:t>
      </w:r>
      <w:r>
        <w:rPr>
          <w:rFonts w:hint="eastAsia"/>
          <w:sz w:val="21"/>
          <w:szCs w:val="21"/>
          <w:lang w:val="en-US" w:eastAsia="zh-CN"/>
        </w:rPr>
        <w:t>）。但是，绿色信贷作为一种新型的环境规制政策，规定银行需要把环境保护作为发放企业贷款的考量因素，既有利于绿色环保企业获得更多的低成本信贷资金，又会限制重污染企业的融资渠道、加剧他们的资金压力，势必将影响企业的创新投入，进而影响企业的绿色技术创新水平。因此，本文采用双重差分法进行实证研究（王馨和王营，2021</w:t>
      </w:r>
      <w:r>
        <w:rPr>
          <w:rFonts w:hint="eastAsia"/>
          <w:sz w:val="21"/>
          <w:szCs w:val="21"/>
          <w:vertAlign w:val="superscript"/>
          <w:lang w:val="zh-CN"/>
        </w:rPr>
        <w:t>[</w:t>
      </w:r>
      <w:r>
        <w:rPr>
          <w:rFonts w:hint="eastAsia"/>
          <w:sz w:val="21"/>
          <w:szCs w:val="21"/>
          <w:vertAlign w:val="superscript"/>
          <w:lang w:val="en-US" w:eastAsia="zh-CN"/>
        </w:rPr>
        <w:t>10</w:t>
      </w:r>
      <w:r>
        <w:rPr>
          <w:rFonts w:hint="eastAsia"/>
          <w:sz w:val="21"/>
          <w:szCs w:val="21"/>
          <w:vertAlign w:val="superscript"/>
          <w:lang w:val="zh-CN"/>
        </w:rPr>
        <w:t>]</w:t>
      </w:r>
      <w:r>
        <w:rPr>
          <w:rFonts w:hint="eastAsia"/>
          <w:sz w:val="21"/>
          <w:szCs w:val="21"/>
          <w:lang w:val="en-US" w:eastAsia="zh-CN"/>
        </w:rPr>
        <w:t>；</w:t>
      </w:r>
      <w:r>
        <w:rPr>
          <w:rFonts w:hint="eastAsia"/>
          <w:sz w:val="21"/>
          <w:szCs w:val="21"/>
        </w:rPr>
        <w:t>杨柳勇</w:t>
      </w:r>
      <w:r>
        <w:rPr>
          <w:rFonts w:hint="eastAsia"/>
          <w:sz w:val="21"/>
          <w:szCs w:val="21"/>
          <w:lang w:val="en-US" w:eastAsia="zh-CN"/>
        </w:rPr>
        <w:t>和</w:t>
      </w:r>
      <w:r>
        <w:rPr>
          <w:rFonts w:hint="eastAsia"/>
          <w:sz w:val="21"/>
          <w:szCs w:val="21"/>
        </w:rPr>
        <w:t>张泽野</w:t>
      </w:r>
      <w:r>
        <w:rPr>
          <w:rFonts w:hint="eastAsia"/>
          <w:sz w:val="21"/>
          <w:szCs w:val="21"/>
          <w:lang w:eastAsia="zh-CN"/>
        </w:rPr>
        <w:t>，</w:t>
      </w:r>
      <w:r>
        <w:rPr>
          <w:rFonts w:hint="eastAsia"/>
          <w:sz w:val="21"/>
          <w:szCs w:val="21"/>
          <w:lang w:val="en-US" w:eastAsia="zh-CN"/>
        </w:rPr>
        <w:t>2022</w:t>
      </w:r>
      <w:r>
        <w:rPr>
          <w:rFonts w:hint="eastAsia"/>
          <w:sz w:val="21"/>
          <w:szCs w:val="21"/>
          <w:vertAlign w:val="superscript"/>
          <w:lang w:val="zh-CN"/>
        </w:rPr>
        <w:t>[</w:t>
      </w:r>
      <w:r>
        <w:rPr>
          <w:rFonts w:hint="eastAsia"/>
          <w:sz w:val="21"/>
          <w:szCs w:val="21"/>
          <w:vertAlign w:val="superscript"/>
          <w:lang w:val="en-US" w:eastAsia="zh-CN"/>
        </w:rPr>
        <w:t>11</w:t>
      </w:r>
      <w:r>
        <w:rPr>
          <w:rFonts w:hint="eastAsia"/>
          <w:sz w:val="21"/>
          <w:szCs w:val="21"/>
          <w:vertAlign w:val="superscript"/>
          <w:lang w:val="zh-CN"/>
        </w:rPr>
        <w:t>]</w:t>
      </w:r>
      <w:r>
        <w:rPr>
          <w:rFonts w:hint="eastAsia"/>
          <w:sz w:val="21"/>
          <w:szCs w:val="21"/>
          <w:lang w:val="en-US" w:eastAsia="zh-CN"/>
        </w:rPr>
        <w:t>），以检验绿色信贷对企业绿色技术创新的影响。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本文可能的贡献如下：第一，从企业的绿色技术创新视角分析绿色信贷发挥的作用，能够丰富绿色信贷实施效果方面的研究；第二，检验了绿色信贷对不同企业绿色技术创新造成的影响，有助于深化认识绿色信贷政策实施效果的差异性；第三，研究结论可以</w:t>
      </w:r>
      <w:r>
        <w:rPr>
          <w:rFonts w:hint="eastAsia"/>
          <w:sz w:val="21"/>
          <w:szCs w:val="21"/>
        </w:rPr>
        <w:t>为完善绿色信贷政策</w:t>
      </w:r>
      <w:r>
        <w:rPr>
          <w:rFonts w:hint="eastAsia"/>
          <w:sz w:val="21"/>
          <w:szCs w:val="21"/>
          <w:lang w:eastAsia="zh-CN"/>
        </w:rPr>
        <w:t>、</w:t>
      </w:r>
      <w:r>
        <w:rPr>
          <w:rFonts w:hint="eastAsia"/>
          <w:sz w:val="21"/>
          <w:szCs w:val="21"/>
          <w:lang w:val="en-US" w:eastAsia="zh-CN"/>
        </w:rPr>
        <w:t>促进</w:t>
      </w:r>
      <w:r>
        <w:rPr>
          <w:rFonts w:hint="eastAsia"/>
          <w:sz w:val="21"/>
          <w:szCs w:val="21"/>
        </w:rPr>
        <w:t>绿色</w:t>
      </w:r>
      <w:r>
        <w:rPr>
          <w:rFonts w:hint="eastAsia"/>
          <w:sz w:val="21"/>
          <w:szCs w:val="21"/>
          <w:lang w:val="en-US" w:eastAsia="zh-CN"/>
        </w:rPr>
        <w:t>经济</w:t>
      </w:r>
      <w:r>
        <w:rPr>
          <w:rFonts w:hint="eastAsia"/>
          <w:sz w:val="21"/>
          <w:szCs w:val="21"/>
        </w:rPr>
        <w:t>发展</w:t>
      </w:r>
      <w:r>
        <w:rPr>
          <w:rFonts w:hint="eastAsia"/>
          <w:sz w:val="21"/>
          <w:szCs w:val="21"/>
          <w:lang w:val="en-US" w:eastAsia="zh-CN"/>
        </w:rPr>
        <w:t>提供相关指导。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bookmarkStart w:id="1" w:name="_Toc21816"/>
      <w:r>
        <w:rPr>
          <w:rFonts w:hint="eastAsia"/>
          <w:sz w:val="21"/>
          <w:szCs w:val="21"/>
          <w:lang w:val="en-US" w:eastAsia="zh-CN"/>
        </w:rPr>
        <w:t>余文的结构安排如下：第二部分梳理相关理论，提出了研究假设；第三部介绍样本选择和数据来源，定义相关变量并建立分析模型；第四部分进行实证分析，得出基准结果并进行平行趋势检验、稳健性检验、异质性检验；第五部分是研究结论和政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lang w:val="en-US" w:eastAsia="zh-CN"/>
        </w:rPr>
      </w:pPr>
    </w:p>
    <w:p>
      <w:pPr>
        <w:pStyle w:val="39"/>
        <w:bidi w:val="0"/>
        <w:rPr>
          <w:rFonts w:hint="eastAsia"/>
          <w:sz w:val="28"/>
          <w:szCs w:val="28"/>
          <w:lang w:val="en-US" w:eastAsia="zh-CN"/>
        </w:rPr>
      </w:pPr>
      <w:r>
        <w:rPr>
          <w:rFonts w:hint="eastAsia"/>
          <w:sz w:val="28"/>
          <w:szCs w:val="28"/>
          <w:lang w:val="en-US" w:eastAsia="zh-CN"/>
        </w:rPr>
        <w:t>二、</w:t>
      </w:r>
      <w:r>
        <w:rPr>
          <w:rFonts w:hint="eastAsia"/>
          <w:sz w:val="28"/>
          <w:szCs w:val="28"/>
        </w:rPr>
        <w:t>理论</w:t>
      </w:r>
      <w:r>
        <w:rPr>
          <w:rFonts w:hint="eastAsia"/>
          <w:sz w:val="28"/>
          <w:szCs w:val="28"/>
          <w:lang w:val="en-US" w:eastAsia="zh-CN"/>
        </w:rPr>
        <w:t>分析</w:t>
      </w:r>
      <w:r>
        <w:rPr>
          <w:rFonts w:hint="eastAsia"/>
          <w:sz w:val="28"/>
          <w:szCs w:val="28"/>
        </w:rPr>
        <w:t>与</w:t>
      </w:r>
      <w:bookmarkEnd w:id="1"/>
      <w:r>
        <w:rPr>
          <w:rFonts w:hint="eastAsia"/>
          <w:sz w:val="28"/>
          <w:szCs w:val="28"/>
          <w:lang w:val="en-US" w:eastAsia="zh-CN"/>
        </w:rPr>
        <w:t>假设提出</w:t>
      </w: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color w:val="000000"/>
          <w:kern w:val="0"/>
          <w:sz w:val="24"/>
          <w:szCs w:val="24"/>
        </w:rPr>
      </w:pPr>
      <w:bookmarkStart w:id="2" w:name="_Toc22056"/>
      <w:r>
        <w:rPr>
          <w:rFonts w:hint="eastAsia" w:ascii="Times New Roman" w:hAnsi="Times New Roman"/>
          <w:sz w:val="24"/>
          <w:szCs w:val="24"/>
        </w:rPr>
        <w:t>（一）</w:t>
      </w:r>
      <w:bookmarkEnd w:id="2"/>
      <w:r>
        <w:rPr>
          <w:rFonts w:hint="eastAsia" w:ascii="Times New Roman" w:hAnsi="Times New Roman" w:eastAsia="宋体" w:cs="宋体"/>
          <w:sz w:val="24"/>
          <w:szCs w:val="24"/>
          <w:lang w:val="en-US" w:eastAsia="zh-CN"/>
        </w:rPr>
        <w:t>绿色信贷与企业绿色技术创新</w:t>
      </w:r>
    </w:p>
    <w:p>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绿色技术创新是保护生态环境、提高发展质量的关键因素，是我国实现人与自然和谐发展的必要举措</w:t>
      </w:r>
      <w:r>
        <w:rPr>
          <w:rFonts w:hint="eastAsia" w:cs="宋体"/>
          <w:color w:val="000000"/>
          <w:kern w:val="0"/>
          <w:sz w:val="21"/>
          <w:szCs w:val="21"/>
          <w:lang w:eastAsia="zh-CN"/>
        </w:rPr>
        <w:t>。</w:t>
      </w:r>
      <w:r>
        <w:rPr>
          <w:rFonts w:hint="eastAsia" w:cs="宋体"/>
          <w:color w:val="000000"/>
          <w:kern w:val="0"/>
          <w:sz w:val="21"/>
          <w:szCs w:val="21"/>
          <w:lang w:val="en-US" w:eastAsia="zh-CN"/>
        </w:rPr>
        <w:t>但进行</w:t>
      </w:r>
      <w:r>
        <w:rPr>
          <w:rFonts w:hint="eastAsia" w:cs="宋体"/>
          <w:color w:val="000000"/>
          <w:kern w:val="0"/>
          <w:szCs w:val="21"/>
        </w:rPr>
        <w:t>绿色技术创新</w:t>
      </w:r>
      <w:r>
        <w:rPr>
          <w:rFonts w:hint="eastAsia" w:ascii="Times New Roman" w:hAnsi="Times New Roman" w:eastAsia="宋体" w:cs="宋体"/>
          <w:color w:val="000000"/>
          <w:kern w:val="0"/>
          <w:sz w:val="21"/>
          <w:szCs w:val="21"/>
        </w:rPr>
        <w:t>需要大量的资金技术和人才的投入，</w:t>
      </w:r>
      <w:r>
        <w:rPr>
          <w:rFonts w:hint="eastAsia" w:cs="宋体"/>
          <w:color w:val="000000"/>
          <w:kern w:val="0"/>
          <w:sz w:val="21"/>
          <w:szCs w:val="21"/>
          <w:lang w:val="en-US" w:eastAsia="zh-CN"/>
        </w:rPr>
        <w:t>其</w:t>
      </w:r>
      <w:r>
        <w:rPr>
          <w:rFonts w:hint="eastAsia" w:ascii="Times New Roman" w:hAnsi="Times New Roman" w:eastAsia="宋体" w:cs="宋体"/>
          <w:color w:val="000000"/>
          <w:kern w:val="0"/>
          <w:sz w:val="21"/>
          <w:szCs w:val="21"/>
        </w:rPr>
        <w:t>沉没成本较大，且收益难以预期，存在较大的经济风险，这些因素综合在一起，限制了很多企业在绿色技术创新方面的投入，致使我国企业的绿色技术升级步伐缓慢</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sz w:val="21"/>
          <w:szCs w:val="21"/>
        </w:rPr>
        <w:t>鞠晓生</w:t>
      </w:r>
      <w:r>
        <w:rPr>
          <w:rFonts w:hint="eastAsia" w:ascii="Times New Roman" w:hAnsi="Times New Roman" w:eastAsia="宋体"/>
          <w:sz w:val="21"/>
          <w:szCs w:val="21"/>
          <w:lang w:val="en-US" w:eastAsia="zh-CN"/>
        </w:rPr>
        <w:t>等，2013</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1</w:t>
      </w:r>
      <w:r>
        <w:rPr>
          <w:rFonts w:hint="eastAsia" w:cs="宋体"/>
          <w:color w:val="000000"/>
          <w:kern w:val="0"/>
          <w:sz w:val="21"/>
          <w:szCs w:val="21"/>
          <w:vertAlign w:val="superscript"/>
          <w:lang w:val="en-US" w:eastAsia="zh-CN"/>
        </w:rPr>
        <w:t>2</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cs="宋体"/>
          <w:color w:val="000000"/>
          <w:kern w:val="0"/>
          <w:sz w:val="21"/>
          <w:szCs w:val="21"/>
        </w:rPr>
        <w:t>。</w:t>
      </w:r>
    </w:p>
    <w:p>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宋体"/>
          <w:color w:val="000000"/>
          <w:kern w:val="0"/>
          <w:sz w:val="21"/>
          <w:szCs w:val="21"/>
          <w:lang w:val="en-US" w:eastAsia="zh-CN"/>
        </w:rPr>
      </w:pPr>
      <w:r>
        <w:rPr>
          <w:rFonts w:hint="eastAsia" w:ascii="Times New Roman" w:hAnsi="Times New Roman" w:eastAsia="宋体" w:cs="宋体"/>
          <w:color w:val="000000"/>
          <w:kern w:val="0"/>
          <w:sz w:val="21"/>
          <w:szCs w:val="21"/>
        </w:rPr>
        <w:t>绿色信贷推出后，表明政府明确支持企业</w:t>
      </w:r>
      <w:r>
        <w:rPr>
          <w:rFonts w:hint="eastAsia" w:ascii="Times New Roman" w:hAnsi="Times New Roman" w:eastAsia="宋体" w:cs="宋体"/>
          <w:color w:val="000000"/>
          <w:kern w:val="0"/>
          <w:sz w:val="21"/>
          <w:szCs w:val="21"/>
          <w:lang w:val="en-US" w:eastAsia="zh-CN"/>
        </w:rPr>
        <w:t>进行绿色发展</w:t>
      </w:r>
      <w:r>
        <w:rPr>
          <w:rFonts w:hint="eastAsia" w:ascii="Times New Roman" w:hAnsi="Times New Roman" w:eastAsia="宋体" w:cs="宋体"/>
          <w:color w:val="000000"/>
          <w:kern w:val="0"/>
          <w:sz w:val="21"/>
          <w:szCs w:val="21"/>
        </w:rPr>
        <w:t>，企业如果能够符合环保要求，就能够获得更多且更加优惠的信贷资金支持，</w:t>
      </w:r>
      <w:r>
        <w:rPr>
          <w:rFonts w:hint="eastAsia" w:ascii="Times New Roman" w:hAnsi="Times New Roman" w:eastAsia="宋体" w:cs="宋体"/>
          <w:color w:val="000000"/>
          <w:kern w:val="0"/>
          <w:sz w:val="21"/>
          <w:szCs w:val="21"/>
          <w:lang w:val="en-US" w:eastAsia="zh-CN"/>
        </w:rPr>
        <w:t>缓解资金压力，</w:t>
      </w:r>
      <w:r>
        <w:rPr>
          <w:rFonts w:hint="eastAsia" w:ascii="Times New Roman" w:hAnsi="Times New Roman" w:eastAsia="宋体" w:cs="宋体"/>
          <w:color w:val="000000"/>
          <w:kern w:val="0"/>
          <w:sz w:val="21"/>
          <w:szCs w:val="21"/>
        </w:rPr>
        <w:t>助力企业发展壮大</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cs="宋体"/>
          <w:color w:val="000000"/>
          <w:kern w:val="0"/>
          <w:sz w:val="21"/>
          <w:szCs w:val="21"/>
          <w:lang w:val="en-US" w:eastAsia="zh-CN"/>
        </w:rPr>
        <w:t>Xiao-xing Huang</w:t>
      </w:r>
      <w:r>
        <w:rPr>
          <w:rFonts w:ascii="Times New Roman" w:hAnsi="Times New Roman"/>
        </w:rPr>
        <w:t xml:space="preserve"> et al.</w:t>
      </w:r>
      <w:r>
        <w:rPr>
          <w:rFonts w:hint="eastAsia" w:ascii="Times New Roman" w:hAnsi="Times New Roman" w:eastAsia="宋体" w:cs="宋体"/>
          <w:color w:val="000000"/>
          <w:kern w:val="0"/>
          <w:sz w:val="21"/>
          <w:szCs w:val="21"/>
          <w:lang w:val="en-US" w:eastAsia="zh-CN"/>
        </w:rPr>
        <w:t>，2016</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1</w:t>
      </w:r>
      <w:r>
        <w:rPr>
          <w:rFonts w:hint="eastAsia" w:cs="宋体"/>
          <w:color w:val="000000"/>
          <w:kern w:val="0"/>
          <w:sz w:val="21"/>
          <w:szCs w:val="21"/>
          <w:vertAlign w:val="superscript"/>
          <w:lang w:val="en-US" w:eastAsia="zh-CN"/>
        </w:rPr>
        <w:t>3</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val="en-US" w:eastAsia="zh-CN"/>
        </w:rPr>
        <w:t>；</w:t>
      </w:r>
      <w:r>
        <w:rPr>
          <w:rFonts w:hint="eastAsia" w:ascii="Times New Roman" w:hAnsi="Times New Roman" w:eastAsia="宋体"/>
          <w:sz w:val="21"/>
          <w:szCs w:val="21"/>
        </w:rPr>
        <w:t>黎文靖</w:t>
      </w:r>
      <w:r>
        <w:rPr>
          <w:rFonts w:hint="eastAsia"/>
          <w:sz w:val="21"/>
          <w:szCs w:val="21"/>
          <w:lang w:val="en-US" w:eastAsia="zh-CN"/>
        </w:rPr>
        <w:t>和</w:t>
      </w:r>
      <w:r>
        <w:rPr>
          <w:rFonts w:hint="eastAsia" w:ascii="Times New Roman" w:hAnsi="Times New Roman" w:eastAsia="宋体"/>
          <w:sz w:val="21"/>
          <w:szCs w:val="21"/>
        </w:rPr>
        <w:t>郑曼妮</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2016</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1</w:t>
      </w:r>
      <w:r>
        <w:rPr>
          <w:rFonts w:hint="eastAsia" w:cs="宋体"/>
          <w:color w:val="000000"/>
          <w:kern w:val="0"/>
          <w:sz w:val="21"/>
          <w:szCs w:val="21"/>
          <w:vertAlign w:val="superscript"/>
          <w:lang w:val="en-US" w:eastAsia="zh-CN"/>
        </w:rPr>
        <w:t>4</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张杰</w:t>
      </w:r>
      <w:r>
        <w:rPr>
          <w:rFonts w:hint="eastAsia"/>
          <w:sz w:val="21"/>
          <w:szCs w:val="21"/>
          <w:lang w:val="en-US" w:eastAsia="zh-CN"/>
        </w:rPr>
        <w:t>和</w:t>
      </w:r>
      <w:r>
        <w:rPr>
          <w:rFonts w:hint="eastAsia" w:ascii="Times New Roman" w:hAnsi="Times New Roman" w:eastAsia="宋体"/>
          <w:sz w:val="21"/>
          <w:szCs w:val="21"/>
        </w:rPr>
        <w:t>郑文平</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2018</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1</w:t>
      </w:r>
      <w:r>
        <w:rPr>
          <w:rFonts w:hint="eastAsia" w:cs="宋体"/>
          <w:color w:val="000000"/>
          <w:kern w:val="0"/>
          <w:sz w:val="21"/>
          <w:szCs w:val="21"/>
          <w:vertAlign w:val="superscript"/>
          <w:lang w:val="en-US" w:eastAsia="zh-CN"/>
        </w:rPr>
        <w:t>5</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cs="宋体"/>
          <w:color w:val="000000"/>
          <w:kern w:val="0"/>
          <w:sz w:val="21"/>
          <w:szCs w:val="21"/>
        </w:rPr>
        <w:t>并且，获得绿色信贷资金后</w:t>
      </w:r>
      <w:r>
        <w:rPr>
          <w:rFonts w:hint="eastAsia" w:cs="宋体"/>
          <w:color w:val="000000"/>
          <w:kern w:val="0"/>
          <w:sz w:val="21"/>
          <w:szCs w:val="21"/>
          <w:lang w:eastAsia="zh-CN"/>
        </w:rPr>
        <w:t>，</w:t>
      </w:r>
      <w:r>
        <w:rPr>
          <w:rFonts w:hint="eastAsia" w:cs="宋体"/>
          <w:color w:val="000000"/>
          <w:kern w:val="0"/>
          <w:sz w:val="21"/>
          <w:szCs w:val="21"/>
          <w:lang w:val="en-US" w:eastAsia="zh-CN"/>
        </w:rPr>
        <w:t>企业会</w:t>
      </w:r>
      <w:r>
        <w:rPr>
          <w:rFonts w:hint="eastAsia" w:ascii="Times New Roman" w:hAnsi="Times New Roman" w:eastAsia="宋体" w:cs="宋体"/>
          <w:color w:val="000000"/>
          <w:kern w:val="0"/>
          <w:sz w:val="21"/>
          <w:szCs w:val="21"/>
        </w:rPr>
        <w:t>增加在绿色技术创新方面的投入，产出更多的绿色技术创新成果，从而形成良性的经济循环</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cs="宋体"/>
          <w:color w:val="000000"/>
          <w:kern w:val="0"/>
          <w:sz w:val="21"/>
          <w:szCs w:val="21"/>
          <w:lang w:val="en-US" w:eastAsia="zh-CN"/>
        </w:rPr>
        <w:t>马光荣</w:t>
      </w:r>
      <w:r>
        <w:rPr>
          <w:rFonts w:hint="eastAsia" w:cs="宋体"/>
          <w:color w:val="000000"/>
          <w:kern w:val="0"/>
          <w:sz w:val="21"/>
          <w:szCs w:val="21"/>
          <w:lang w:val="en-US" w:eastAsia="zh-CN"/>
        </w:rPr>
        <w:t>等</w:t>
      </w:r>
      <w:r>
        <w:rPr>
          <w:rFonts w:hint="eastAsia" w:ascii="Times New Roman" w:hAnsi="Times New Roman" w:eastAsia="宋体" w:cs="宋体"/>
          <w:color w:val="000000"/>
          <w:kern w:val="0"/>
          <w:sz w:val="21"/>
          <w:szCs w:val="21"/>
          <w:lang w:val="en-US" w:eastAsia="zh-CN"/>
        </w:rPr>
        <w:t>，2014</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1</w:t>
      </w:r>
      <w:r>
        <w:rPr>
          <w:rFonts w:hint="eastAsia" w:cs="宋体"/>
          <w:color w:val="000000"/>
          <w:kern w:val="0"/>
          <w:sz w:val="21"/>
          <w:szCs w:val="21"/>
          <w:vertAlign w:val="superscript"/>
          <w:lang w:val="en-US" w:eastAsia="zh-CN"/>
        </w:rPr>
        <w:t>6</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val="en-US" w:eastAsia="zh-CN"/>
        </w:rPr>
        <w:t>；李后建和刘思亚，2015</w:t>
      </w:r>
      <w:r>
        <w:rPr>
          <w:rFonts w:hint="eastAsia" w:ascii="Times New Roman" w:hAnsi="Times New Roman" w:eastAsia="宋体" w:cs="宋体"/>
          <w:color w:val="000000"/>
          <w:kern w:val="0"/>
          <w:sz w:val="21"/>
          <w:szCs w:val="21"/>
          <w:vertAlign w:val="superscript"/>
          <w:lang w:val="zh-CN"/>
        </w:rPr>
        <w:t>[</w:t>
      </w:r>
      <w:r>
        <w:rPr>
          <w:rFonts w:hint="eastAsia" w:cs="宋体"/>
          <w:color w:val="000000"/>
          <w:kern w:val="0"/>
          <w:sz w:val="21"/>
          <w:szCs w:val="21"/>
          <w:vertAlign w:val="superscript"/>
          <w:lang w:val="en-US" w:eastAsia="zh-CN"/>
        </w:rPr>
        <w:t>17</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val="en-US" w:eastAsia="zh-CN"/>
        </w:rPr>
        <w:t>；何凌云等，2019</w:t>
      </w:r>
      <w:r>
        <w:rPr>
          <w:rFonts w:hint="eastAsia" w:ascii="Times New Roman" w:hAnsi="Times New Roman" w:eastAsia="宋体" w:cs="宋体"/>
          <w:color w:val="000000"/>
          <w:kern w:val="0"/>
          <w:sz w:val="21"/>
          <w:szCs w:val="21"/>
          <w:vertAlign w:val="superscript"/>
          <w:lang w:val="zh-CN"/>
        </w:rPr>
        <w:t>[</w:t>
      </w:r>
      <w:r>
        <w:rPr>
          <w:rFonts w:hint="eastAsia" w:cs="宋体"/>
          <w:color w:val="000000"/>
          <w:kern w:val="0"/>
          <w:sz w:val="21"/>
          <w:szCs w:val="21"/>
          <w:vertAlign w:val="superscript"/>
          <w:lang w:val="en-US" w:eastAsia="zh-CN"/>
        </w:rPr>
        <w:t>18</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val="en-US" w:eastAsia="zh-CN"/>
        </w:rPr>
        <w:t>）</w:t>
      </w:r>
      <w:r>
        <w:rPr>
          <w:rFonts w:hint="eastAsia" w:ascii="Times New Roman" w:hAnsi="Times New Roman" w:eastAsia="宋体" w:cs="宋体"/>
          <w:color w:val="000000"/>
          <w:kern w:val="0"/>
          <w:sz w:val="21"/>
          <w:szCs w:val="21"/>
        </w:rPr>
        <w:t>。</w:t>
      </w:r>
      <w:r>
        <w:rPr>
          <w:rFonts w:hint="eastAsia" w:ascii="Times New Roman" w:hAnsi="Times New Roman" w:eastAsia="宋体" w:cs="宋体"/>
          <w:color w:val="000000"/>
          <w:kern w:val="0"/>
          <w:sz w:val="21"/>
          <w:szCs w:val="21"/>
          <w:lang w:val="en-US" w:eastAsia="zh-CN"/>
        </w:rPr>
        <w:t>与此同时，绿色信贷政策的实施，结合政府相继出台的环境保护政策，可以激发民众和企业高层对于绿色创新的重视程度，激励企业提高绿色生产技术、研发绿色环保产品（</w:t>
      </w:r>
      <w:r>
        <w:rPr>
          <w:rFonts w:hint="eastAsia" w:ascii="Times New Roman" w:hAnsi="Times New Roman" w:eastAsia="宋体"/>
          <w:sz w:val="21"/>
          <w:szCs w:val="21"/>
        </w:rPr>
        <w:t>曹霞</w:t>
      </w:r>
      <w:r>
        <w:rPr>
          <w:rFonts w:hint="eastAsia"/>
          <w:sz w:val="21"/>
          <w:szCs w:val="21"/>
          <w:lang w:val="en-US" w:eastAsia="zh-CN"/>
        </w:rPr>
        <w:t>和</w:t>
      </w:r>
      <w:r>
        <w:rPr>
          <w:rFonts w:hint="eastAsia" w:ascii="Times New Roman" w:hAnsi="Times New Roman" w:eastAsia="宋体"/>
          <w:sz w:val="21"/>
          <w:szCs w:val="21"/>
        </w:rPr>
        <w:t>张路蓬</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2015</w:t>
      </w:r>
      <w:r>
        <w:rPr>
          <w:rFonts w:hint="eastAsia" w:ascii="Times New Roman" w:hAnsi="Times New Roman" w:eastAsia="宋体" w:cs="宋体"/>
          <w:color w:val="000000"/>
          <w:kern w:val="0"/>
          <w:sz w:val="21"/>
          <w:szCs w:val="21"/>
          <w:vertAlign w:val="superscript"/>
          <w:lang w:val="zh-CN"/>
        </w:rPr>
        <w:t>[</w:t>
      </w:r>
      <w:r>
        <w:rPr>
          <w:rFonts w:hint="eastAsia" w:cs="宋体"/>
          <w:color w:val="000000"/>
          <w:kern w:val="0"/>
          <w:sz w:val="21"/>
          <w:szCs w:val="21"/>
          <w:vertAlign w:val="superscript"/>
          <w:lang w:val="en-US" w:eastAsia="zh-CN"/>
        </w:rPr>
        <w:t>19</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杨东</w:t>
      </w:r>
      <w:r>
        <w:rPr>
          <w:rFonts w:hint="eastAsia"/>
          <w:sz w:val="21"/>
          <w:szCs w:val="21"/>
          <w:lang w:val="en-US" w:eastAsia="zh-CN"/>
        </w:rPr>
        <w:t>和</w:t>
      </w:r>
      <w:r>
        <w:rPr>
          <w:rFonts w:hint="eastAsia" w:ascii="Times New Roman" w:hAnsi="Times New Roman" w:eastAsia="宋体"/>
          <w:sz w:val="21"/>
          <w:szCs w:val="21"/>
        </w:rPr>
        <w:t>柴慧敏</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2015</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2</w:t>
      </w:r>
      <w:r>
        <w:rPr>
          <w:rFonts w:hint="eastAsia" w:cs="宋体"/>
          <w:color w:val="000000"/>
          <w:kern w:val="0"/>
          <w:sz w:val="21"/>
          <w:szCs w:val="21"/>
          <w:vertAlign w:val="superscript"/>
          <w:lang w:val="en-US" w:eastAsia="zh-CN"/>
        </w:rPr>
        <w:t>0</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曹洪军</w:t>
      </w:r>
      <w:r>
        <w:rPr>
          <w:rFonts w:hint="eastAsia" w:ascii="Times New Roman" w:hAnsi="Times New Roman" w:eastAsia="宋体"/>
          <w:sz w:val="21"/>
          <w:szCs w:val="21"/>
          <w:lang w:val="en-US" w:eastAsia="zh-CN"/>
        </w:rPr>
        <w:t>和</w:t>
      </w:r>
      <w:r>
        <w:rPr>
          <w:rFonts w:hint="eastAsia" w:ascii="Times New Roman" w:hAnsi="Times New Roman" w:eastAsia="宋体"/>
          <w:sz w:val="21"/>
          <w:szCs w:val="21"/>
        </w:rPr>
        <w:t>陈泽文</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2017</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2</w:t>
      </w:r>
      <w:r>
        <w:rPr>
          <w:rFonts w:hint="eastAsia" w:cs="宋体"/>
          <w:color w:val="000000"/>
          <w:kern w:val="0"/>
          <w:sz w:val="21"/>
          <w:szCs w:val="21"/>
          <w:vertAlign w:val="superscript"/>
          <w:lang w:val="en-US" w:eastAsia="zh-CN"/>
        </w:rPr>
        <w:t>1</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解学梅</w:t>
      </w:r>
      <w:r>
        <w:rPr>
          <w:rFonts w:hint="eastAsia" w:ascii="Times New Roman" w:hAnsi="Times New Roman" w:eastAsia="宋体"/>
          <w:sz w:val="21"/>
          <w:szCs w:val="21"/>
          <w:lang w:val="en-US" w:eastAsia="zh-CN"/>
        </w:rPr>
        <w:t>等，2019</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2</w:t>
      </w:r>
      <w:r>
        <w:rPr>
          <w:rFonts w:hint="eastAsia" w:cs="宋体"/>
          <w:color w:val="000000"/>
          <w:kern w:val="0"/>
          <w:sz w:val="21"/>
          <w:szCs w:val="21"/>
          <w:vertAlign w:val="superscript"/>
          <w:lang w:val="en-US" w:eastAsia="zh-CN"/>
        </w:rPr>
        <w:t>2</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val="en-US" w:eastAsia="zh-CN"/>
        </w:rPr>
        <w:t>）。</w:t>
      </w:r>
    </w:p>
    <w:p>
      <w:pPr>
        <w:keepNext w:val="0"/>
        <w:keepLines w:val="0"/>
        <w:pageBreakBefore w:val="0"/>
        <w:kinsoku/>
        <w:wordWrap/>
        <w:overflowPunct/>
        <w:topLinePunct w:val="0"/>
        <w:bidi w:val="0"/>
        <w:snapToGrid/>
        <w:spacing w:line="360" w:lineRule="auto"/>
        <w:ind w:firstLine="420" w:firstLineChars="200"/>
        <w:textAlignment w:val="auto"/>
        <w:rPr>
          <w:rFonts w:hint="default" w:ascii="Times New Roman" w:hAnsi="Times New Roman" w:eastAsia="宋体" w:cs="宋体"/>
          <w:color w:val="000000"/>
          <w:kern w:val="0"/>
          <w:sz w:val="21"/>
          <w:szCs w:val="21"/>
          <w:lang w:val="en-US" w:eastAsia="zh-CN"/>
        </w:rPr>
      </w:pPr>
      <w:r>
        <w:rPr>
          <w:rFonts w:hint="eastAsia" w:ascii="Times New Roman" w:hAnsi="Times New Roman" w:eastAsia="宋体" w:cs="宋体"/>
          <w:color w:val="000000"/>
          <w:kern w:val="0"/>
          <w:sz w:val="21"/>
          <w:szCs w:val="21"/>
          <w:lang w:val="en-US" w:eastAsia="zh-CN"/>
        </w:rPr>
        <w:t>依据以上分析，本文提出假设：</w:t>
      </w:r>
    </w:p>
    <w:p>
      <w:pPr>
        <w:keepNext w:val="0"/>
        <w:keepLines w:val="0"/>
        <w:pageBreakBefore w:val="0"/>
        <w:kinsoku/>
        <w:wordWrap/>
        <w:overflowPunct/>
        <w:topLinePunct w:val="0"/>
        <w:bidi w:val="0"/>
        <w:snapToGrid/>
        <w:spacing w:line="360" w:lineRule="auto"/>
        <w:ind w:firstLine="422" w:firstLineChars="200"/>
        <w:textAlignment w:val="auto"/>
        <w:rPr>
          <w:rFonts w:hint="eastAsia" w:ascii="Times New Roman" w:hAnsi="Times New Roman" w:eastAsia="宋体"/>
          <w:b/>
          <w:sz w:val="21"/>
          <w:szCs w:val="21"/>
          <w:lang w:val="en-US" w:eastAsia="zh-CN"/>
        </w:rPr>
      </w:pPr>
      <w:r>
        <w:rPr>
          <w:rFonts w:hint="eastAsia" w:ascii="Times New Roman" w:hAnsi="Times New Roman" w:eastAsia="宋体"/>
          <w:b/>
          <w:sz w:val="21"/>
          <w:szCs w:val="21"/>
        </w:rPr>
        <w:t>H1：</w:t>
      </w:r>
      <w:r>
        <w:rPr>
          <w:rFonts w:hint="eastAsia" w:ascii="Times New Roman" w:hAnsi="Times New Roman" w:eastAsia="宋体"/>
          <w:b/>
          <w:sz w:val="21"/>
          <w:szCs w:val="21"/>
          <w:lang w:val="en-US" w:eastAsia="zh-CN"/>
        </w:rPr>
        <w:t>绿色信贷能够激励企业进行绿色技术创新。</w:t>
      </w:r>
    </w:p>
    <w:p>
      <w:pPr>
        <w:keepNext w:val="0"/>
        <w:keepLines w:val="0"/>
        <w:pageBreakBefore w:val="0"/>
        <w:kinsoku/>
        <w:wordWrap/>
        <w:overflowPunct/>
        <w:topLinePunct w:val="0"/>
        <w:bidi w:val="0"/>
        <w:snapToGrid/>
        <w:spacing w:line="360" w:lineRule="auto"/>
        <w:ind w:firstLine="422" w:firstLineChars="200"/>
        <w:textAlignment w:val="auto"/>
        <w:rPr>
          <w:rFonts w:hint="eastAsia" w:ascii="Times New Roman" w:hAnsi="Times New Roman" w:eastAsia="宋体"/>
          <w:b/>
          <w:sz w:val="21"/>
          <w:szCs w:val="21"/>
          <w:lang w:val="en-US" w:eastAsia="zh-CN"/>
        </w:rPr>
      </w:pP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color w:val="000000"/>
          <w:kern w:val="0"/>
          <w:sz w:val="24"/>
          <w:szCs w:val="24"/>
        </w:rPr>
      </w:pPr>
      <w:r>
        <w:rPr>
          <w:rFonts w:hint="eastAsia" w:ascii="Times New Roman" w:hAnsi="Times New Roman"/>
          <w:sz w:val="24"/>
          <w:szCs w:val="24"/>
        </w:rPr>
        <w:t>（</w:t>
      </w:r>
      <w:r>
        <w:rPr>
          <w:rFonts w:hint="eastAsia"/>
          <w:sz w:val="24"/>
          <w:szCs w:val="24"/>
          <w:lang w:val="en-US" w:eastAsia="zh-CN"/>
        </w:rPr>
        <w:t>二</w:t>
      </w:r>
      <w:r>
        <w:rPr>
          <w:rFonts w:hint="eastAsia" w:ascii="Times New Roman" w:hAnsi="Times New Roman"/>
          <w:sz w:val="24"/>
          <w:szCs w:val="24"/>
        </w:rPr>
        <w:t>）</w:t>
      </w:r>
      <w:r>
        <w:rPr>
          <w:rFonts w:hint="eastAsia" w:ascii="Times New Roman" w:hAnsi="Times New Roman" w:eastAsia="宋体"/>
          <w:sz w:val="24"/>
          <w:szCs w:val="24"/>
          <w:lang w:val="en-US" w:eastAsia="zh-CN"/>
        </w:rPr>
        <w:t>绿色信贷政策与重污染企业绿色技术创新</w:t>
      </w:r>
    </w:p>
    <w:p>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为了实现促进我国产业结构升级、推进协调绿色发展的目的，绿色信贷政策应运而生。我国的绿色信贷政策起始于1995年，直至2012年的《绿色信贷指引》发布后，我国才建立起较为完善的绿色信贷政策体系，相关监督机制和执行标准得到确切规定。《绿色信贷指引》要求我国的商业银行在发放贷款时，把企业环境相关的因素作为一大审批标准，严格限制“两高一剩”企业的贷款规模，并对造成环境污染的企业采取提高贷款利率、提前收回贷款等惩罚性措施，以期将资金引导向绿色环保产业，促进我国经济绿色高质量发展。</w:t>
      </w:r>
    </w:p>
    <w:p>
      <w:pPr>
        <w:keepNext w:val="0"/>
        <w:keepLines w:val="0"/>
        <w:pageBreakBefore w:val="0"/>
        <w:kinsoku/>
        <w:wordWrap/>
        <w:overflowPunct/>
        <w:topLinePunct w:val="0"/>
        <w:bidi w:val="0"/>
        <w:adjustRightInd w:val="0"/>
        <w:snapToGrid/>
        <w:spacing w:line="360" w:lineRule="auto"/>
        <w:ind w:firstLine="420" w:firstLineChars="200"/>
        <w:textAlignment w:val="auto"/>
        <w:rPr>
          <w:rFonts w:hint="default" w:ascii="Times New Roman" w:hAnsi="Times New Roman" w:eastAsia="宋体" w:cs="宋体"/>
          <w:color w:val="000000"/>
          <w:kern w:val="0"/>
          <w:sz w:val="21"/>
          <w:szCs w:val="21"/>
          <w:lang w:val="en-US" w:eastAsia="zh-CN"/>
        </w:rPr>
      </w:pPr>
      <w:r>
        <w:rPr>
          <w:rFonts w:hint="eastAsia" w:ascii="Times New Roman" w:hAnsi="Times New Roman" w:eastAsia="宋体" w:cs="宋体"/>
          <w:color w:val="000000"/>
          <w:kern w:val="0"/>
          <w:sz w:val="21"/>
          <w:szCs w:val="21"/>
        </w:rPr>
        <w:t>但需要特别注意的是，《绿色信贷指引》实施的目的并非是抑制或清除传统的高污染企业，而在于发挥政策的倒逼作用，促进这些企业进行绿色技术创新，实现转型升级。首先，对于传统的“两高一剩”企业，信贷融资是其发展路径中至关重要的一个节点，实施绿色信贷政策，将提高这些企业的融资成本，降低其利润率，压缩其成长空间</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cs="宋体"/>
          <w:color w:val="000000"/>
          <w:kern w:val="0"/>
          <w:sz w:val="21"/>
          <w:szCs w:val="21"/>
        </w:rPr>
        <w:t>高污染企业唯有</w:t>
      </w:r>
      <w:r>
        <w:rPr>
          <w:rFonts w:hint="eastAsia" w:ascii="Times New Roman" w:hAnsi="Times New Roman" w:eastAsia="宋体" w:cs="宋体"/>
          <w:color w:val="000000"/>
          <w:kern w:val="0"/>
          <w:sz w:val="21"/>
          <w:szCs w:val="21"/>
          <w:lang w:val="en-US" w:eastAsia="zh-CN"/>
        </w:rPr>
        <w:t>通过</w:t>
      </w:r>
      <w:r>
        <w:rPr>
          <w:rFonts w:hint="eastAsia" w:ascii="Times New Roman" w:hAnsi="Times New Roman" w:eastAsia="宋体" w:cs="宋体"/>
          <w:color w:val="000000"/>
          <w:kern w:val="0"/>
          <w:sz w:val="21"/>
          <w:szCs w:val="21"/>
        </w:rPr>
        <w:t>转型升级</w:t>
      </w:r>
      <w:r>
        <w:rPr>
          <w:rFonts w:hint="eastAsia" w:ascii="Times New Roman" w:hAnsi="Times New Roman" w:eastAsia="宋体" w:cs="宋体"/>
          <w:color w:val="000000"/>
          <w:kern w:val="0"/>
          <w:sz w:val="21"/>
          <w:szCs w:val="21"/>
          <w:lang w:val="en-US" w:eastAsia="zh-CN"/>
        </w:rPr>
        <w:t>来</w:t>
      </w:r>
      <w:r>
        <w:rPr>
          <w:rFonts w:hint="eastAsia" w:ascii="Times New Roman" w:hAnsi="Times New Roman" w:eastAsia="宋体" w:cs="宋体"/>
          <w:color w:val="000000"/>
          <w:kern w:val="0"/>
          <w:sz w:val="21"/>
          <w:szCs w:val="21"/>
        </w:rPr>
        <w:t>摆脱绿色信贷政策的束缚，这就需要企业加大对绿色技术创新方面的投入，逐渐减少其环境污染程度，以符合绿色信贷的要求</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sz w:val="21"/>
          <w:szCs w:val="21"/>
        </w:rPr>
        <w:t>舒利敏</w:t>
      </w:r>
      <w:r>
        <w:rPr>
          <w:rFonts w:hint="eastAsia"/>
          <w:sz w:val="21"/>
          <w:szCs w:val="21"/>
          <w:lang w:val="en-US" w:eastAsia="zh-CN"/>
        </w:rPr>
        <w:t>和</w:t>
      </w:r>
      <w:r>
        <w:rPr>
          <w:rFonts w:hint="eastAsia" w:ascii="Times New Roman" w:hAnsi="Times New Roman" w:eastAsia="宋体"/>
          <w:sz w:val="21"/>
          <w:szCs w:val="21"/>
        </w:rPr>
        <w:t>张俊瑞</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2014</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2</w:t>
      </w:r>
      <w:r>
        <w:rPr>
          <w:rFonts w:hint="eastAsia" w:cs="宋体"/>
          <w:color w:val="000000"/>
          <w:kern w:val="0"/>
          <w:sz w:val="21"/>
          <w:szCs w:val="21"/>
          <w:vertAlign w:val="superscript"/>
          <w:lang w:val="en-US" w:eastAsia="zh-CN"/>
        </w:rPr>
        <w:t>3</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蔡佳楠</w:t>
      </w:r>
      <w:r>
        <w:rPr>
          <w:rFonts w:hint="eastAsia" w:ascii="Times New Roman" w:hAnsi="Times New Roman" w:eastAsia="宋体"/>
          <w:sz w:val="21"/>
          <w:szCs w:val="21"/>
          <w:lang w:val="en-US" w:eastAsia="zh-CN"/>
        </w:rPr>
        <w:t>等，2018</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2</w:t>
      </w:r>
      <w:r>
        <w:rPr>
          <w:rFonts w:hint="eastAsia" w:cs="宋体"/>
          <w:color w:val="000000"/>
          <w:kern w:val="0"/>
          <w:sz w:val="21"/>
          <w:szCs w:val="21"/>
          <w:vertAlign w:val="superscript"/>
          <w:lang w:val="en-US" w:eastAsia="zh-CN"/>
        </w:rPr>
        <w:t>4</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陈琪</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2019</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2</w:t>
      </w:r>
      <w:r>
        <w:rPr>
          <w:rFonts w:hint="eastAsia" w:cs="宋体"/>
          <w:color w:val="000000"/>
          <w:kern w:val="0"/>
          <w:sz w:val="21"/>
          <w:szCs w:val="21"/>
          <w:vertAlign w:val="superscript"/>
          <w:lang w:val="en-US" w:eastAsia="zh-CN"/>
        </w:rPr>
        <w:t>5</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江红莉</w:t>
      </w:r>
      <w:r>
        <w:rPr>
          <w:rFonts w:hint="eastAsia" w:ascii="Times New Roman" w:hAnsi="Times New Roman" w:eastAsia="宋体"/>
          <w:sz w:val="21"/>
          <w:szCs w:val="21"/>
          <w:lang w:val="en-US" w:eastAsia="zh-CN"/>
        </w:rPr>
        <w:t>等，2020</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2</w:t>
      </w:r>
      <w:r>
        <w:rPr>
          <w:rFonts w:hint="eastAsia" w:cs="宋体"/>
          <w:color w:val="000000"/>
          <w:kern w:val="0"/>
          <w:sz w:val="21"/>
          <w:szCs w:val="21"/>
          <w:vertAlign w:val="superscript"/>
          <w:lang w:val="en-US" w:eastAsia="zh-CN"/>
        </w:rPr>
        <w:t>6</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lang w:eastAsia="zh-CN"/>
        </w:rPr>
        <w:t>）</w:t>
      </w:r>
      <w:r>
        <w:rPr>
          <w:rFonts w:hint="eastAsia" w:ascii="Times New Roman" w:hAnsi="Times New Roman" w:eastAsia="宋体" w:cs="宋体"/>
          <w:color w:val="000000"/>
          <w:kern w:val="0"/>
          <w:sz w:val="21"/>
          <w:szCs w:val="21"/>
        </w:rPr>
        <w:t>。其次，《绿色信贷指引》</w:t>
      </w:r>
      <w:r>
        <w:rPr>
          <w:rFonts w:hint="eastAsia" w:ascii="Times New Roman" w:hAnsi="Times New Roman" w:eastAsia="宋体" w:cs="宋体"/>
          <w:color w:val="000000"/>
          <w:kern w:val="0"/>
          <w:sz w:val="21"/>
          <w:szCs w:val="21"/>
          <w:lang w:val="en-US" w:eastAsia="zh-CN"/>
        </w:rPr>
        <w:t>的颁布，标志着国家环境规制政策的进一步完善，绿色发展已经成为时代的主流理念，在此背景下，高污染企业要想继续存在于市场之中，就必须主动进行绿色技术创新，转变传统的发展模式，适应当今高质量发展的要求，如此才能得到政府的支持、民众的信赖（</w:t>
      </w:r>
      <w:r>
        <w:rPr>
          <w:rFonts w:hint="eastAsia" w:ascii="Times New Roman" w:hAnsi="Times New Roman" w:eastAsia="宋体"/>
          <w:sz w:val="21"/>
          <w:szCs w:val="21"/>
        </w:rPr>
        <w:t>Noel Brown</w:t>
      </w:r>
      <w:r>
        <w:rPr>
          <w:rFonts w:hint="eastAsia"/>
          <w:sz w:val="21"/>
          <w:szCs w:val="21"/>
          <w:lang w:val="en-US" w:eastAsia="zh-CN"/>
        </w:rPr>
        <w:t xml:space="preserve"> </w:t>
      </w:r>
      <w:r>
        <w:rPr>
          <w:rFonts w:ascii="Times New Roman" w:hAnsi="Times New Roman"/>
        </w:rPr>
        <w:t>and</w:t>
      </w:r>
      <w:r>
        <w:rPr>
          <w:rFonts w:hint="eastAsia"/>
          <w:lang w:val="en-US" w:eastAsia="zh-CN"/>
        </w:rPr>
        <w:t xml:space="preserve"> </w:t>
      </w:r>
      <w:r>
        <w:rPr>
          <w:rFonts w:hint="eastAsia" w:ascii="Times New Roman" w:hAnsi="Times New Roman" w:eastAsia="宋体"/>
          <w:sz w:val="21"/>
          <w:szCs w:val="21"/>
        </w:rPr>
        <w:t>Craig Deegan</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1998</w:t>
      </w:r>
      <w:r>
        <w:rPr>
          <w:rFonts w:hint="eastAsia" w:ascii="Times New Roman" w:hAnsi="Times New Roman" w:eastAsia="宋体" w:cs="宋体"/>
          <w:color w:val="000000"/>
          <w:kern w:val="0"/>
          <w:sz w:val="21"/>
          <w:szCs w:val="21"/>
          <w:vertAlign w:val="superscript"/>
          <w:lang w:val="zh-CN"/>
        </w:rPr>
        <w:t>[</w:t>
      </w:r>
      <w:r>
        <w:rPr>
          <w:rFonts w:hint="eastAsia" w:cs="宋体"/>
          <w:color w:val="000000"/>
          <w:kern w:val="0"/>
          <w:sz w:val="21"/>
          <w:szCs w:val="21"/>
          <w:vertAlign w:val="superscript"/>
          <w:lang w:val="en-US" w:eastAsia="zh-CN"/>
        </w:rPr>
        <w:t>27</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李百兴</w:t>
      </w:r>
      <w:r>
        <w:rPr>
          <w:rFonts w:hint="eastAsia" w:ascii="Times New Roman" w:hAnsi="Times New Roman" w:eastAsia="宋体"/>
          <w:sz w:val="21"/>
          <w:szCs w:val="21"/>
          <w:lang w:val="en-US" w:eastAsia="zh-CN"/>
        </w:rPr>
        <w:t>等，2018</w:t>
      </w:r>
      <w:r>
        <w:rPr>
          <w:rFonts w:hint="eastAsia" w:ascii="Times New Roman" w:hAnsi="Times New Roman" w:eastAsia="宋体" w:cs="宋体"/>
          <w:color w:val="000000"/>
          <w:kern w:val="0"/>
          <w:sz w:val="21"/>
          <w:szCs w:val="21"/>
          <w:vertAlign w:val="superscript"/>
          <w:lang w:val="zh-CN"/>
        </w:rPr>
        <w:t>[</w:t>
      </w:r>
      <w:r>
        <w:rPr>
          <w:rFonts w:hint="eastAsia" w:cs="宋体"/>
          <w:color w:val="000000"/>
          <w:kern w:val="0"/>
          <w:sz w:val="21"/>
          <w:szCs w:val="21"/>
          <w:vertAlign w:val="superscript"/>
          <w:lang w:val="en-US" w:eastAsia="zh-CN"/>
        </w:rPr>
        <w:t>28</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潘爱玲</w:t>
      </w:r>
      <w:r>
        <w:rPr>
          <w:rFonts w:hint="eastAsia" w:ascii="Times New Roman" w:hAnsi="Times New Roman" w:eastAsia="宋体"/>
          <w:sz w:val="21"/>
          <w:szCs w:val="21"/>
          <w:lang w:val="en-US" w:eastAsia="zh-CN"/>
        </w:rPr>
        <w:t>等，2019</w:t>
      </w:r>
      <w:r>
        <w:rPr>
          <w:rFonts w:hint="eastAsia" w:ascii="Times New Roman" w:hAnsi="Times New Roman" w:eastAsia="宋体" w:cs="宋体"/>
          <w:color w:val="000000"/>
          <w:kern w:val="0"/>
          <w:sz w:val="21"/>
          <w:szCs w:val="21"/>
          <w:vertAlign w:val="superscript"/>
          <w:lang w:val="zh-CN"/>
        </w:rPr>
        <w:t>[</w:t>
      </w:r>
      <w:r>
        <w:rPr>
          <w:rFonts w:hint="eastAsia" w:cs="宋体"/>
          <w:color w:val="000000"/>
          <w:kern w:val="0"/>
          <w:sz w:val="21"/>
          <w:szCs w:val="21"/>
          <w:vertAlign w:val="superscript"/>
          <w:lang w:val="en-US" w:eastAsia="zh-CN"/>
        </w:rPr>
        <w:t>29</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丁杰</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2019</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superscript"/>
          <w:lang w:val="en-US" w:eastAsia="zh-CN"/>
        </w:rPr>
        <w:t>3</w:t>
      </w:r>
      <w:r>
        <w:rPr>
          <w:rFonts w:hint="eastAsia" w:cs="宋体"/>
          <w:color w:val="000000"/>
          <w:kern w:val="0"/>
          <w:sz w:val="21"/>
          <w:szCs w:val="21"/>
          <w:vertAlign w:val="superscript"/>
          <w:lang w:val="en-US" w:eastAsia="zh-CN"/>
        </w:rPr>
        <w:t>0</w:t>
      </w:r>
      <w:r>
        <w:rPr>
          <w:rFonts w:hint="eastAsia" w:ascii="Times New Roman" w:hAnsi="Times New Roman" w:eastAsia="宋体" w:cs="宋体"/>
          <w:color w:val="000000"/>
          <w:kern w:val="0"/>
          <w:sz w:val="21"/>
          <w:szCs w:val="21"/>
          <w:vertAlign w:val="superscript"/>
          <w:lang w:val="zh-CN"/>
        </w:rPr>
        <w:t>]</w:t>
      </w:r>
      <w:r>
        <w:rPr>
          <w:rFonts w:hint="eastAsia" w:ascii="Times New Roman" w:hAnsi="Times New Roman" w:eastAsia="宋体" w:cs="宋体"/>
          <w:color w:val="000000"/>
          <w:kern w:val="0"/>
          <w:sz w:val="21"/>
          <w:szCs w:val="21"/>
          <w:vertAlign w:val="baseline"/>
          <w:lang w:val="en-US" w:eastAsia="zh-CN"/>
        </w:rPr>
        <w:t>）</w:t>
      </w:r>
      <w:r>
        <w:rPr>
          <w:rFonts w:hint="eastAsia" w:ascii="Times New Roman" w:hAnsi="Times New Roman" w:eastAsia="宋体" w:cs="宋体"/>
          <w:color w:val="000000"/>
          <w:kern w:val="0"/>
          <w:sz w:val="21"/>
          <w:szCs w:val="21"/>
          <w:lang w:val="en-US" w:eastAsia="zh-CN"/>
        </w:rPr>
        <w:t>。</w:t>
      </w:r>
    </w:p>
    <w:p>
      <w:pPr>
        <w:keepNext w:val="0"/>
        <w:keepLines w:val="0"/>
        <w:pageBreakBefore w:val="0"/>
        <w:kinsoku/>
        <w:wordWrap/>
        <w:overflowPunct/>
        <w:topLinePunct w:val="0"/>
        <w:bidi w:val="0"/>
        <w:snapToGrid/>
        <w:spacing w:line="360" w:lineRule="auto"/>
        <w:ind w:firstLine="420" w:firstLineChars="200"/>
        <w:textAlignment w:val="auto"/>
        <w:rPr>
          <w:rFonts w:hint="default" w:ascii="Times New Roman" w:hAnsi="Times New Roman" w:eastAsia="宋体" w:cs="宋体"/>
          <w:color w:val="000000"/>
          <w:kern w:val="0"/>
          <w:sz w:val="21"/>
          <w:szCs w:val="21"/>
          <w:lang w:val="en-US" w:eastAsia="zh-CN"/>
        </w:rPr>
      </w:pPr>
      <w:r>
        <w:rPr>
          <w:rFonts w:hint="eastAsia" w:ascii="Times New Roman" w:hAnsi="Times New Roman" w:eastAsia="宋体" w:cs="宋体"/>
          <w:color w:val="000000"/>
          <w:kern w:val="0"/>
          <w:sz w:val="21"/>
          <w:szCs w:val="21"/>
          <w:lang w:val="en-US" w:eastAsia="zh-CN"/>
        </w:rPr>
        <w:t>综合以上分析，本文提出假设：</w:t>
      </w:r>
    </w:p>
    <w:p>
      <w:pPr>
        <w:keepNext w:val="0"/>
        <w:keepLines w:val="0"/>
        <w:pageBreakBefore w:val="0"/>
        <w:kinsoku/>
        <w:wordWrap/>
        <w:overflowPunct/>
        <w:topLinePunct w:val="0"/>
        <w:bidi w:val="0"/>
        <w:snapToGrid/>
        <w:spacing w:line="360" w:lineRule="auto"/>
        <w:ind w:firstLine="422" w:firstLineChars="200"/>
        <w:textAlignment w:val="auto"/>
        <w:rPr>
          <w:rFonts w:hint="eastAsia" w:ascii="Times New Roman" w:hAnsi="Times New Roman" w:eastAsia="宋体"/>
          <w:b/>
          <w:sz w:val="21"/>
          <w:szCs w:val="21"/>
          <w:lang w:val="en-US" w:eastAsia="zh-CN"/>
        </w:rPr>
      </w:pPr>
      <w:r>
        <w:rPr>
          <w:rFonts w:hint="eastAsia" w:ascii="Times New Roman" w:hAnsi="Times New Roman" w:eastAsia="宋体"/>
          <w:b/>
          <w:sz w:val="21"/>
          <w:szCs w:val="21"/>
        </w:rPr>
        <w:t>H</w:t>
      </w:r>
      <w:r>
        <w:rPr>
          <w:rFonts w:hint="eastAsia" w:ascii="Times New Roman" w:hAnsi="Times New Roman" w:eastAsia="宋体"/>
          <w:b/>
          <w:sz w:val="21"/>
          <w:szCs w:val="21"/>
          <w:lang w:val="en-US" w:eastAsia="zh-CN"/>
        </w:rPr>
        <w:t>2</w:t>
      </w:r>
      <w:r>
        <w:rPr>
          <w:rFonts w:hint="eastAsia" w:ascii="Times New Roman" w:hAnsi="Times New Roman" w:eastAsia="宋体"/>
          <w:b/>
          <w:sz w:val="21"/>
          <w:szCs w:val="21"/>
        </w:rPr>
        <w:t>：</w:t>
      </w:r>
      <w:r>
        <w:rPr>
          <w:rFonts w:hint="eastAsia" w:ascii="Times New Roman" w:hAnsi="Times New Roman" w:eastAsia="宋体"/>
          <w:b/>
          <w:sz w:val="21"/>
          <w:szCs w:val="21"/>
          <w:lang w:val="en-US" w:eastAsia="zh-CN"/>
        </w:rPr>
        <w:t>相较于其他企业，《绿色信贷指引》政策对重污染企业绿色技术创新的激励作用更强。</w:t>
      </w:r>
    </w:p>
    <w:p>
      <w:pPr>
        <w:pStyle w:val="35"/>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宋体"/>
          <w:sz w:val="21"/>
          <w:szCs w:val="21"/>
          <w:lang w:val="en-US" w:eastAsia="zh-CN"/>
        </w:rPr>
      </w:pPr>
    </w:p>
    <w:p>
      <w:pPr>
        <w:pStyle w:val="39"/>
        <w:bidi w:val="0"/>
        <w:rPr>
          <w:rFonts w:hint="eastAsia"/>
          <w:sz w:val="28"/>
          <w:szCs w:val="28"/>
          <w:lang w:val="en-US" w:eastAsia="zh-CN"/>
        </w:rPr>
      </w:pPr>
      <w:bookmarkStart w:id="3" w:name="_Toc2754"/>
      <w:r>
        <w:rPr>
          <w:rFonts w:hint="eastAsia"/>
          <w:sz w:val="28"/>
          <w:szCs w:val="28"/>
          <w:lang w:val="en-US" w:eastAsia="zh-CN"/>
        </w:rPr>
        <w:t>三、</w:t>
      </w:r>
      <w:r>
        <w:rPr>
          <w:rFonts w:hint="eastAsia"/>
          <w:sz w:val="28"/>
          <w:szCs w:val="28"/>
        </w:rPr>
        <w:t>研究设计</w:t>
      </w:r>
      <w:bookmarkEnd w:id="3"/>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rPr>
      </w:pPr>
      <w:bookmarkStart w:id="4" w:name="_Toc26126"/>
      <w:r>
        <w:rPr>
          <w:rFonts w:hint="eastAsia" w:ascii="Times New Roman" w:hAnsi="Times New Roman"/>
          <w:sz w:val="24"/>
          <w:szCs w:val="24"/>
        </w:rPr>
        <w:t>（一）</w:t>
      </w:r>
      <w:r>
        <w:rPr>
          <w:rFonts w:hint="eastAsia" w:ascii="Times New Roman" w:hAnsi="Times New Roman" w:eastAsia="宋体"/>
          <w:sz w:val="24"/>
          <w:szCs w:val="24"/>
          <w:lang w:val="en-US" w:eastAsia="zh-CN"/>
        </w:rPr>
        <w:t>样本选择和数据来源</w:t>
      </w:r>
    </w:p>
    <w:bookmarkEnd w:id="4"/>
    <w:p>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宋体"/>
          <w:color w:val="000000"/>
          <w:kern w:val="0"/>
          <w:sz w:val="21"/>
          <w:szCs w:val="21"/>
          <w:lang w:val="en-US" w:eastAsia="zh-CN"/>
        </w:rPr>
      </w:pPr>
      <w:r>
        <w:rPr>
          <w:rFonts w:hint="eastAsia"/>
          <w:sz w:val="21"/>
          <w:szCs w:val="21"/>
          <w:lang w:val="en-US" w:eastAsia="zh-CN"/>
        </w:rPr>
        <w:t>为避免</w:t>
      </w:r>
      <w:r>
        <w:rPr>
          <w:rFonts w:hint="eastAsia" w:ascii="Times New Roman" w:hAnsi="Times New Roman" w:eastAsia="宋体"/>
          <w:sz w:val="21"/>
          <w:szCs w:val="21"/>
          <w:lang w:val="en-US" w:eastAsia="zh-CN"/>
        </w:rPr>
        <w:t>2008年金融危机</w:t>
      </w:r>
      <w:r>
        <w:rPr>
          <w:rFonts w:hint="eastAsia"/>
          <w:sz w:val="21"/>
          <w:szCs w:val="21"/>
          <w:lang w:val="en-US" w:eastAsia="zh-CN"/>
        </w:rPr>
        <w:t>对结果的干扰</w:t>
      </w:r>
      <w:r>
        <w:rPr>
          <w:rFonts w:hint="eastAsia" w:ascii="Times New Roman" w:hAnsi="Times New Roman" w:eastAsia="宋体"/>
          <w:sz w:val="21"/>
          <w:szCs w:val="21"/>
          <w:lang w:val="en-US" w:eastAsia="zh-CN"/>
        </w:rPr>
        <w:t>，本文的研究数据始自</w:t>
      </w:r>
      <w:r>
        <w:rPr>
          <w:rFonts w:hint="default" w:ascii="Times New Roman" w:hAnsi="Times New Roman" w:eastAsia="宋体" w:cs="Times New Roman"/>
          <w:sz w:val="21"/>
          <w:szCs w:val="21"/>
          <w:lang w:val="en-US" w:eastAsia="zh-CN"/>
        </w:rPr>
        <w:t>2009</w:t>
      </w:r>
      <w:r>
        <w:rPr>
          <w:rFonts w:hint="eastAsia" w:ascii="Times New Roman" w:hAnsi="Times New Roman" w:eastAsia="宋体"/>
          <w:sz w:val="21"/>
          <w:szCs w:val="21"/>
          <w:lang w:val="en-US" w:eastAsia="zh-CN"/>
        </w:rPr>
        <w:t>年，</w:t>
      </w:r>
      <w:r>
        <w:rPr>
          <w:rFonts w:hint="eastAsia" w:ascii="Times New Roman" w:hAnsi="Times New Roman" w:eastAsia="宋体" w:cs="宋体"/>
          <w:color w:val="000000"/>
          <w:kern w:val="0"/>
          <w:sz w:val="21"/>
          <w:szCs w:val="21"/>
          <w:lang w:val="en-US" w:eastAsia="zh-CN"/>
        </w:rPr>
        <w:t>以2009—2020年的A股上市公司作为研究样本，并对样本做以下处理：（1）剔除金融类上市企业样本观测值；（2）剔除样本期间内ST、*ST企业样本观测值；（3）剔除主要财务数据缺失的企业样本。有关上市公司的财务数据来自于CSMAR数据库，有关企业绿色技术创新的数据来自于CNRDS数据库，并对所有连续性变量采取1%水平上的缩尾处理，以排除极端值对于实验结果的影响。最终得到21853公司-年度样本。</w:t>
      </w:r>
    </w:p>
    <w:p>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宋体"/>
          <w:color w:val="000000"/>
          <w:kern w:val="0"/>
          <w:sz w:val="21"/>
          <w:szCs w:val="21"/>
          <w:lang w:val="en-US" w:eastAsia="zh-CN"/>
        </w:rPr>
      </w:pP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rPr>
      </w:pPr>
      <w:bookmarkStart w:id="5" w:name="_Toc2846"/>
      <w:r>
        <w:rPr>
          <w:rFonts w:hint="eastAsia" w:ascii="Times New Roman" w:hAnsi="Times New Roman"/>
          <w:sz w:val="24"/>
          <w:szCs w:val="24"/>
        </w:rPr>
        <w:t>（</w:t>
      </w:r>
      <w:r>
        <w:rPr>
          <w:rFonts w:hint="eastAsia"/>
          <w:sz w:val="24"/>
          <w:szCs w:val="24"/>
          <w:lang w:val="en-US" w:eastAsia="zh-CN"/>
        </w:rPr>
        <w:t>二</w:t>
      </w:r>
      <w:r>
        <w:rPr>
          <w:rFonts w:hint="eastAsia" w:ascii="Times New Roman" w:hAnsi="Times New Roman"/>
          <w:sz w:val="24"/>
          <w:szCs w:val="24"/>
        </w:rPr>
        <w:t>）</w:t>
      </w:r>
      <w:r>
        <w:rPr>
          <w:rFonts w:hint="eastAsia" w:ascii="Times New Roman" w:hAnsi="Times New Roman" w:eastAsia="宋体" w:cs="宋体"/>
          <w:sz w:val="24"/>
          <w:szCs w:val="24"/>
          <w:lang w:val="en-US" w:eastAsia="zh-CN"/>
        </w:rPr>
        <w:t>变量定义</w:t>
      </w:r>
    </w:p>
    <w:bookmarkEnd w:id="5"/>
    <w:p>
      <w:pPr>
        <w:pStyle w:val="41"/>
        <w:bidi w:val="0"/>
        <w:rPr>
          <w:rFonts w:hint="eastAsia" w:ascii="黑体" w:hAnsi="黑体" w:eastAsia="黑体" w:cs="黑体"/>
          <w:b w:val="0"/>
          <w:bCs w:val="0"/>
          <w:sz w:val="21"/>
          <w:szCs w:val="24"/>
          <w:lang w:val="en-US" w:eastAsia="zh-CN"/>
        </w:rPr>
      </w:pPr>
      <w:r>
        <w:rPr>
          <w:rFonts w:hint="eastAsia" w:ascii="黑体" w:hAnsi="黑体" w:eastAsia="黑体" w:cs="黑体"/>
          <w:b w:val="0"/>
          <w:bCs w:val="0"/>
          <w:sz w:val="21"/>
          <w:szCs w:val="24"/>
        </w:rPr>
        <w:t>1.</w:t>
      </w:r>
      <w:r>
        <w:rPr>
          <w:rFonts w:hint="eastAsia" w:ascii="黑体" w:hAnsi="黑体" w:eastAsia="黑体" w:cs="黑体"/>
          <w:b w:val="0"/>
          <w:bCs w:val="0"/>
          <w:sz w:val="21"/>
          <w:szCs w:val="24"/>
          <w:lang w:val="en-US" w:eastAsia="zh-CN"/>
        </w:rPr>
        <w:t>被解释变量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lang w:val="en-US" w:eastAsia="zh-CN"/>
        </w:rPr>
        <w:t>实证模型中的</w:t>
      </w:r>
      <w:r>
        <w:rPr>
          <w:rFonts w:hint="eastAsia"/>
          <w:sz w:val="21"/>
          <w:szCs w:val="21"/>
        </w:rPr>
        <w:t>被解释变量</w:t>
      </w:r>
      <w:r>
        <w:rPr>
          <w:rFonts w:hint="eastAsia"/>
          <w:sz w:val="21"/>
          <w:szCs w:val="21"/>
          <w:lang w:val="en-US" w:eastAsia="zh-CN"/>
        </w:rPr>
        <w:t>为</w:t>
      </w:r>
      <w:r>
        <w:rPr>
          <w:rFonts w:hint="eastAsia"/>
          <w:sz w:val="21"/>
          <w:szCs w:val="21"/>
        </w:rPr>
        <w:t>企业绿色技术创新水平（</w:t>
      </w:r>
      <w:r>
        <w:rPr>
          <w:rFonts w:hint="eastAsia"/>
          <w:i/>
          <w:sz w:val="21"/>
          <w:szCs w:val="21"/>
          <w:lang w:eastAsia="zh-CN"/>
        </w:rPr>
        <w:t>Patent</w:t>
      </w:r>
      <w:r>
        <w:rPr>
          <w:rFonts w:hint="eastAsia"/>
          <w:sz w:val="21"/>
          <w:szCs w:val="21"/>
        </w:rPr>
        <w:t>）。</w:t>
      </w:r>
      <w:r>
        <w:rPr>
          <w:rFonts w:hint="eastAsia"/>
          <w:sz w:val="21"/>
          <w:szCs w:val="21"/>
          <w:lang w:val="en-US" w:eastAsia="zh-CN"/>
        </w:rPr>
        <w:t>参考于波（2021）</w:t>
      </w:r>
      <w:r>
        <w:rPr>
          <w:rFonts w:hint="eastAsia"/>
          <w:sz w:val="21"/>
          <w:szCs w:val="21"/>
          <w:vertAlign w:val="superscript"/>
          <w:lang w:val="zh-CN"/>
        </w:rPr>
        <w:t>[</w:t>
      </w:r>
      <w:r>
        <w:rPr>
          <w:rFonts w:hint="eastAsia"/>
          <w:sz w:val="21"/>
          <w:szCs w:val="21"/>
          <w:vertAlign w:val="superscript"/>
          <w:lang w:val="en-US" w:eastAsia="zh-CN"/>
        </w:rPr>
        <w:t>31</w:t>
      </w:r>
      <w:r>
        <w:rPr>
          <w:rFonts w:hint="eastAsia"/>
          <w:sz w:val="21"/>
          <w:szCs w:val="21"/>
          <w:vertAlign w:val="superscript"/>
          <w:lang w:val="zh-CN"/>
        </w:rPr>
        <w:t>]</w:t>
      </w:r>
      <w:r>
        <w:rPr>
          <w:rFonts w:hint="eastAsia"/>
          <w:sz w:val="21"/>
          <w:szCs w:val="21"/>
          <w:lang w:val="en-US" w:eastAsia="zh-CN"/>
        </w:rPr>
        <w:t>的做法，本文</w:t>
      </w:r>
      <w:r>
        <w:rPr>
          <w:rFonts w:hint="eastAsia"/>
          <w:sz w:val="21"/>
          <w:szCs w:val="21"/>
        </w:rPr>
        <w:t>采用企业当年申请的绿色技术专利数量加1的自然对数衡量企业的绿色技术创新水平，并在</w:t>
      </w:r>
      <w:r>
        <w:rPr>
          <w:rFonts w:hint="eastAsia"/>
          <w:sz w:val="21"/>
          <w:szCs w:val="21"/>
          <w:lang w:val="en-US" w:eastAsia="zh-CN"/>
        </w:rPr>
        <w:t>之后的</w:t>
      </w:r>
      <w:r>
        <w:rPr>
          <w:rFonts w:hint="eastAsia"/>
          <w:sz w:val="21"/>
          <w:szCs w:val="21"/>
        </w:rPr>
        <w:t>稳健性检验中</w:t>
      </w:r>
      <w:r>
        <w:rPr>
          <w:rFonts w:hint="eastAsia"/>
          <w:sz w:val="21"/>
          <w:szCs w:val="21"/>
          <w:lang w:val="en-US" w:eastAsia="zh-CN"/>
        </w:rPr>
        <w:t>替换</w:t>
      </w:r>
      <w:r>
        <w:rPr>
          <w:rFonts w:hint="eastAsia"/>
          <w:sz w:val="21"/>
          <w:szCs w:val="21"/>
        </w:rPr>
        <w:t>采用企业当年获得的绿色技术专利数量加1的自然对数（</w:t>
      </w:r>
      <w:r>
        <w:rPr>
          <w:rFonts w:hint="eastAsia"/>
          <w:i/>
          <w:sz w:val="21"/>
          <w:szCs w:val="21"/>
          <w:lang w:eastAsia="zh-CN"/>
        </w:rPr>
        <w:t>Patent</w:t>
      </w:r>
      <w:r>
        <w:rPr>
          <w:rFonts w:hint="eastAsia"/>
          <w:sz w:val="21"/>
          <w:szCs w:val="21"/>
          <w:lang w:eastAsia="zh-CN"/>
        </w:rPr>
        <w:t>1</w:t>
      </w:r>
      <w:r>
        <w:rPr>
          <w:rFonts w:hint="eastAsia"/>
          <w:sz w:val="21"/>
          <w:szCs w:val="21"/>
        </w:rPr>
        <w:t xml:space="preserve">）衡量企业的绿色技术创新水平。 </w:t>
      </w:r>
    </w:p>
    <w:p>
      <w:pPr>
        <w:pStyle w:val="41"/>
        <w:bidi w:val="0"/>
        <w:rPr>
          <w:rFonts w:hint="eastAsia" w:ascii="黑体" w:hAnsi="黑体" w:eastAsia="黑体" w:cs="黑体"/>
          <w:b w:val="0"/>
          <w:bCs w:val="0"/>
          <w:sz w:val="21"/>
          <w:szCs w:val="24"/>
          <w:lang w:val="en-US" w:eastAsia="zh-CN"/>
        </w:rPr>
      </w:pPr>
      <w:r>
        <w:rPr>
          <w:rFonts w:hint="eastAsia" w:ascii="黑体" w:hAnsi="黑体" w:eastAsia="黑体" w:cs="黑体"/>
          <w:b w:val="0"/>
          <w:bCs w:val="0"/>
          <w:sz w:val="21"/>
          <w:szCs w:val="24"/>
          <w:lang w:val="en-US" w:eastAsia="zh-CN"/>
        </w:rPr>
        <w:t>2</w:t>
      </w:r>
      <w:r>
        <w:rPr>
          <w:rFonts w:hint="eastAsia" w:ascii="黑体" w:hAnsi="黑体" w:eastAsia="黑体" w:cs="黑体"/>
          <w:b w:val="0"/>
          <w:bCs w:val="0"/>
          <w:sz w:val="21"/>
          <w:szCs w:val="24"/>
        </w:rPr>
        <w:t>.</w:t>
      </w:r>
      <w:r>
        <w:rPr>
          <w:rFonts w:hint="eastAsia" w:ascii="黑体" w:hAnsi="黑体" w:eastAsia="黑体" w:cs="黑体"/>
          <w:b w:val="0"/>
          <w:bCs w:val="0"/>
          <w:sz w:val="21"/>
          <w:szCs w:val="24"/>
          <w:lang w:val="en-US" w:eastAsia="zh-CN"/>
        </w:rPr>
        <w:t>解释变量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核心解释变量：双重差分项（</w:t>
      </w:r>
      <w:r>
        <w:rPr>
          <w:rFonts w:hint="eastAsia"/>
          <w:i/>
          <w:sz w:val="21"/>
          <w:szCs w:val="21"/>
          <w:lang w:eastAsia="zh-CN"/>
        </w:rPr>
        <w:t>Treat×Post</w:t>
      </w:r>
      <w:r>
        <w:rPr>
          <w:rFonts w:hint="eastAsia"/>
          <w:sz w:val="21"/>
          <w:szCs w:val="21"/>
        </w:rPr>
        <w:t>）。其为</w:t>
      </w:r>
      <w:r>
        <w:rPr>
          <w:rFonts w:hint="eastAsia"/>
          <w:sz w:val="21"/>
          <w:szCs w:val="21"/>
          <w:lang w:val="en-US" w:eastAsia="zh-CN"/>
        </w:rPr>
        <w:t>实验</w:t>
      </w:r>
      <w:r>
        <w:rPr>
          <w:rFonts w:hint="eastAsia"/>
          <w:sz w:val="21"/>
          <w:szCs w:val="21"/>
        </w:rPr>
        <w:t>虚拟变量（</w:t>
      </w:r>
      <w:r>
        <w:rPr>
          <w:rFonts w:hint="eastAsia"/>
          <w:i/>
          <w:sz w:val="21"/>
          <w:szCs w:val="21"/>
          <w:lang w:eastAsia="zh-CN"/>
        </w:rPr>
        <w:t>Treat</w:t>
      </w:r>
      <w:r>
        <w:rPr>
          <w:rFonts w:hint="eastAsia"/>
          <w:sz w:val="21"/>
          <w:szCs w:val="21"/>
        </w:rPr>
        <w:t>）和政策时点虚拟变量（</w:t>
      </w:r>
      <w:r>
        <w:rPr>
          <w:rFonts w:hint="eastAsia"/>
          <w:i/>
          <w:sz w:val="21"/>
          <w:szCs w:val="21"/>
          <w:lang w:eastAsia="zh-CN"/>
        </w:rPr>
        <w:t>Post</w:t>
      </w:r>
      <w:r>
        <w:rPr>
          <w:rFonts w:hint="eastAsia"/>
          <w:sz w:val="21"/>
          <w:szCs w:val="21"/>
        </w:rPr>
        <w:t>）的交乘项。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lang w:val="en-US" w:eastAsia="zh-CN"/>
        </w:rPr>
        <w:t>实验</w:t>
      </w:r>
      <w:r>
        <w:rPr>
          <w:rFonts w:hint="eastAsia"/>
          <w:sz w:val="21"/>
          <w:szCs w:val="21"/>
        </w:rPr>
        <w:t>虚拟变量（</w:t>
      </w:r>
      <w:r>
        <w:rPr>
          <w:rFonts w:hint="eastAsia"/>
          <w:i/>
          <w:sz w:val="21"/>
          <w:szCs w:val="21"/>
          <w:lang w:eastAsia="zh-CN"/>
        </w:rPr>
        <w:t>Treat</w:t>
      </w:r>
      <w:r>
        <w:rPr>
          <w:rFonts w:hint="eastAsia"/>
          <w:sz w:val="21"/>
          <w:szCs w:val="21"/>
        </w:rPr>
        <w:t>）。根据《绿色信贷指引》原则，以及《绿色信贷实施情况关键评价指标》</w:t>
      </w:r>
      <w:r>
        <w:rPr>
          <w:rFonts w:hint="eastAsia"/>
          <w:sz w:val="21"/>
          <w:szCs w:val="21"/>
          <w:lang w:val="en-US" w:eastAsia="zh-CN"/>
        </w:rPr>
        <w:t>的相关内容，本文</w:t>
      </w:r>
      <w:r>
        <w:rPr>
          <w:rFonts w:hint="eastAsia"/>
          <w:sz w:val="21"/>
          <w:szCs w:val="21"/>
        </w:rPr>
        <w:t>将</w:t>
      </w:r>
      <w:r>
        <w:rPr>
          <w:rFonts w:hint="eastAsia"/>
          <w:sz w:val="21"/>
          <w:szCs w:val="21"/>
          <w:lang w:eastAsia="zh-CN"/>
        </w:rPr>
        <w:t>《</w:t>
      </w:r>
      <w:r>
        <w:rPr>
          <w:rFonts w:hint="eastAsia"/>
          <w:sz w:val="21"/>
          <w:szCs w:val="21"/>
        </w:rPr>
        <w:t>指标</w:t>
      </w:r>
      <w:r>
        <w:rPr>
          <w:rFonts w:hint="eastAsia"/>
          <w:sz w:val="21"/>
          <w:szCs w:val="21"/>
          <w:lang w:eastAsia="zh-CN"/>
        </w:rPr>
        <w:t>》</w:t>
      </w:r>
      <w:r>
        <w:rPr>
          <w:rFonts w:hint="eastAsia"/>
          <w:sz w:val="21"/>
          <w:szCs w:val="21"/>
          <w:lang w:val="en-US" w:eastAsia="zh-CN"/>
        </w:rPr>
        <w:t>中</w:t>
      </w:r>
      <w:r>
        <w:rPr>
          <w:rFonts w:hint="eastAsia"/>
          <w:sz w:val="21"/>
          <w:szCs w:val="21"/>
        </w:rPr>
        <w:t>A类行业中的企业</w:t>
      </w:r>
      <w:r>
        <w:rPr>
          <w:rFonts w:hint="eastAsia"/>
          <w:sz w:val="21"/>
          <w:szCs w:val="21"/>
          <w:lang w:val="en-US" w:eastAsia="zh-CN"/>
        </w:rPr>
        <w:t>设置</w:t>
      </w:r>
      <w:r>
        <w:rPr>
          <w:rFonts w:hint="eastAsia"/>
          <w:sz w:val="21"/>
          <w:szCs w:val="21"/>
        </w:rPr>
        <w:t>为实验组，将其他非A类行业的企业设置为对照组。即若上市公司属于A类行业，包括核力发电、水力发电、水利和内河港口工程建筑、煤炭开采和洗选业、石油和天然气开采业、黑色金属矿采选业、有色金属矿采选业、非金属矿采选业、其他采矿业等9个行业，则</w:t>
      </w:r>
      <w:r>
        <w:rPr>
          <w:rFonts w:hint="eastAsia"/>
          <w:i/>
          <w:sz w:val="21"/>
          <w:szCs w:val="21"/>
          <w:lang w:eastAsia="zh-CN"/>
        </w:rPr>
        <w:t>Treat</w:t>
      </w:r>
      <w:r>
        <w:rPr>
          <w:rFonts w:hint="eastAsia"/>
          <w:sz w:val="21"/>
          <w:szCs w:val="21"/>
        </w:rPr>
        <w:t>项为1，否则为0。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政策时点虚拟变量（</w:t>
      </w:r>
      <w:r>
        <w:rPr>
          <w:rFonts w:hint="eastAsia"/>
          <w:i/>
          <w:sz w:val="21"/>
          <w:szCs w:val="21"/>
          <w:lang w:eastAsia="zh-CN"/>
        </w:rPr>
        <w:t>Post</w:t>
      </w:r>
      <w:r>
        <w:rPr>
          <w:rFonts w:hint="eastAsia"/>
          <w:sz w:val="21"/>
          <w:szCs w:val="21"/>
        </w:rPr>
        <w:t>）。《绿色信贷指引》</w:t>
      </w:r>
      <w:r>
        <w:rPr>
          <w:rFonts w:hint="eastAsia"/>
          <w:sz w:val="21"/>
          <w:szCs w:val="21"/>
          <w:lang w:val="en-US" w:eastAsia="zh-CN"/>
        </w:rPr>
        <w:t>发布于2012年，是我国绿色信贷体系中的核心文件，对绿色信贷的具体实施起着里程碑式的作用。因此</w:t>
      </w:r>
      <w:r>
        <w:rPr>
          <w:rFonts w:hint="eastAsia"/>
          <w:sz w:val="21"/>
          <w:szCs w:val="21"/>
        </w:rPr>
        <w:t>若年份大于等于2012</w:t>
      </w:r>
      <w:r>
        <w:rPr>
          <w:rFonts w:hint="eastAsia"/>
          <w:sz w:val="21"/>
          <w:szCs w:val="21"/>
          <w:lang w:eastAsia="zh-CN"/>
        </w:rPr>
        <w:t>，</w:t>
      </w:r>
      <w:r>
        <w:rPr>
          <w:rFonts w:hint="eastAsia"/>
          <w:sz w:val="21"/>
          <w:szCs w:val="21"/>
        </w:rPr>
        <w:t>则</w:t>
      </w:r>
      <w:r>
        <w:rPr>
          <w:rFonts w:hint="eastAsia"/>
          <w:i/>
          <w:sz w:val="21"/>
          <w:szCs w:val="21"/>
          <w:lang w:eastAsia="zh-CN"/>
        </w:rPr>
        <w:t>Post</w:t>
      </w:r>
      <w:r>
        <w:rPr>
          <w:rFonts w:hint="eastAsia"/>
          <w:sz w:val="21"/>
          <w:szCs w:val="21"/>
        </w:rPr>
        <w:t>项为1，否则为0。</w:t>
      </w:r>
    </w:p>
    <w:p>
      <w:pPr>
        <w:pStyle w:val="41"/>
        <w:bidi w:val="0"/>
        <w:rPr>
          <w:rFonts w:hint="eastAsia" w:ascii="黑体" w:hAnsi="黑体" w:eastAsia="黑体" w:cs="黑体"/>
          <w:b w:val="0"/>
          <w:bCs w:val="0"/>
          <w:sz w:val="21"/>
          <w:szCs w:val="24"/>
          <w:lang w:val="en-US" w:eastAsia="zh-CN"/>
        </w:rPr>
      </w:pPr>
      <w:r>
        <w:rPr>
          <w:rFonts w:hint="eastAsia" w:ascii="黑体" w:hAnsi="黑体" w:eastAsia="黑体" w:cs="黑体"/>
          <w:b w:val="0"/>
          <w:bCs w:val="0"/>
          <w:sz w:val="21"/>
          <w:szCs w:val="24"/>
          <w:lang w:val="en-US" w:eastAsia="zh-CN"/>
        </w:rPr>
        <w:t>3</w:t>
      </w:r>
      <w:r>
        <w:rPr>
          <w:rFonts w:hint="eastAsia" w:ascii="黑体" w:hAnsi="黑体" w:eastAsia="黑体" w:cs="黑体"/>
          <w:b w:val="0"/>
          <w:bCs w:val="0"/>
          <w:sz w:val="21"/>
          <w:szCs w:val="24"/>
        </w:rPr>
        <w:t>.</w:t>
      </w:r>
      <w:r>
        <w:rPr>
          <w:rFonts w:hint="eastAsia" w:ascii="黑体" w:hAnsi="黑体" w:eastAsia="黑体" w:cs="黑体"/>
          <w:b w:val="0"/>
          <w:bCs w:val="0"/>
          <w:sz w:val="21"/>
          <w:szCs w:val="24"/>
          <w:lang w:val="en-US" w:eastAsia="zh-CN"/>
        </w:rPr>
        <w:t>控制变量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本文考虑了企业其他的相关因素，认为企业的规模大小、资金状况、管理人员等也会影响绿色技术创新的水平，因此选取了</w:t>
      </w:r>
      <w:r>
        <w:rPr>
          <w:rFonts w:hint="eastAsia"/>
          <w:sz w:val="21"/>
          <w:szCs w:val="21"/>
        </w:rPr>
        <w:t>杠杆水平（</w:t>
      </w:r>
      <w:r>
        <w:rPr>
          <w:rFonts w:hint="eastAsia"/>
          <w:i/>
          <w:sz w:val="21"/>
          <w:szCs w:val="21"/>
          <w:lang w:eastAsia="zh-CN"/>
        </w:rPr>
        <w:t>Lev</w:t>
      </w:r>
      <w:r>
        <w:rPr>
          <w:rFonts w:hint="eastAsia"/>
          <w:sz w:val="21"/>
          <w:szCs w:val="21"/>
        </w:rPr>
        <w:t>）</w:t>
      </w:r>
      <w:r>
        <w:rPr>
          <w:rFonts w:hint="eastAsia"/>
          <w:sz w:val="21"/>
          <w:szCs w:val="21"/>
          <w:lang w:eastAsia="zh-CN"/>
        </w:rPr>
        <w:t>、</w:t>
      </w:r>
      <w:r>
        <w:rPr>
          <w:rFonts w:hint="eastAsia"/>
          <w:sz w:val="21"/>
          <w:szCs w:val="21"/>
        </w:rPr>
        <w:t>企业规模（</w:t>
      </w:r>
      <w:r>
        <w:rPr>
          <w:rFonts w:hint="eastAsia"/>
          <w:i/>
          <w:sz w:val="21"/>
          <w:szCs w:val="21"/>
          <w:lang w:eastAsia="zh-CN"/>
        </w:rPr>
        <w:t>Size</w:t>
      </w:r>
      <w:r>
        <w:rPr>
          <w:rFonts w:hint="eastAsia"/>
          <w:sz w:val="21"/>
          <w:szCs w:val="21"/>
        </w:rPr>
        <w:t>）</w:t>
      </w:r>
      <w:r>
        <w:rPr>
          <w:rFonts w:hint="eastAsia"/>
          <w:sz w:val="21"/>
          <w:szCs w:val="21"/>
          <w:lang w:eastAsia="zh-CN"/>
        </w:rPr>
        <w:t>、</w:t>
      </w:r>
      <w:r>
        <w:rPr>
          <w:rFonts w:hint="eastAsia"/>
          <w:sz w:val="21"/>
          <w:szCs w:val="21"/>
        </w:rPr>
        <w:t>企业</w:t>
      </w:r>
      <w:r>
        <w:rPr>
          <w:rFonts w:hint="eastAsia"/>
          <w:sz w:val="21"/>
          <w:szCs w:val="21"/>
          <w:lang w:val="en-US" w:eastAsia="zh-CN"/>
        </w:rPr>
        <w:t>上市年龄</w:t>
      </w:r>
      <w:r>
        <w:rPr>
          <w:rFonts w:hint="eastAsia"/>
          <w:sz w:val="21"/>
          <w:szCs w:val="21"/>
        </w:rPr>
        <w:t>（</w:t>
      </w:r>
      <w:r>
        <w:rPr>
          <w:rFonts w:hint="eastAsia"/>
          <w:i/>
          <w:sz w:val="21"/>
          <w:szCs w:val="21"/>
          <w:lang w:eastAsia="zh-CN"/>
        </w:rPr>
        <w:t>Age</w:t>
      </w:r>
      <w:r>
        <w:rPr>
          <w:rFonts w:hint="eastAsia"/>
          <w:sz w:val="21"/>
          <w:szCs w:val="21"/>
        </w:rPr>
        <w:t>）</w:t>
      </w:r>
      <w:r>
        <w:rPr>
          <w:rFonts w:hint="eastAsia"/>
          <w:sz w:val="21"/>
          <w:szCs w:val="21"/>
          <w:lang w:eastAsia="zh-CN"/>
        </w:rPr>
        <w:t>、</w:t>
      </w:r>
      <w:r>
        <w:rPr>
          <w:rFonts w:hint="eastAsia"/>
          <w:sz w:val="21"/>
          <w:szCs w:val="21"/>
        </w:rPr>
        <w:t>总资产收益率（</w:t>
      </w:r>
      <w:r>
        <w:rPr>
          <w:rFonts w:hint="eastAsia"/>
          <w:i/>
          <w:sz w:val="21"/>
          <w:szCs w:val="21"/>
          <w:lang w:eastAsia="zh-CN"/>
        </w:rPr>
        <w:t>ROA</w:t>
      </w:r>
      <w:r>
        <w:rPr>
          <w:rFonts w:hint="eastAsia"/>
          <w:sz w:val="21"/>
          <w:szCs w:val="21"/>
        </w:rPr>
        <w:t>）</w:t>
      </w:r>
      <w:r>
        <w:rPr>
          <w:rFonts w:hint="eastAsia"/>
          <w:sz w:val="21"/>
          <w:szCs w:val="21"/>
          <w:lang w:eastAsia="zh-CN"/>
        </w:rPr>
        <w:t>、</w:t>
      </w:r>
      <w:r>
        <w:rPr>
          <w:rFonts w:hint="eastAsia"/>
          <w:sz w:val="21"/>
          <w:szCs w:val="21"/>
        </w:rPr>
        <w:t>企业成长性（</w:t>
      </w:r>
      <w:r>
        <w:rPr>
          <w:rFonts w:hint="eastAsia"/>
          <w:i/>
          <w:sz w:val="21"/>
          <w:szCs w:val="21"/>
          <w:lang w:eastAsia="zh-CN"/>
        </w:rPr>
        <w:t>Growth</w:t>
      </w:r>
      <w:r>
        <w:rPr>
          <w:rFonts w:hint="eastAsia"/>
          <w:sz w:val="21"/>
          <w:szCs w:val="21"/>
        </w:rPr>
        <w:t>）</w:t>
      </w:r>
      <w:r>
        <w:rPr>
          <w:rFonts w:hint="eastAsia"/>
          <w:sz w:val="21"/>
          <w:szCs w:val="21"/>
          <w:lang w:eastAsia="zh-CN"/>
        </w:rPr>
        <w:t>、</w:t>
      </w:r>
      <w:r>
        <w:rPr>
          <w:rFonts w:hint="eastAsia"/>
          <w:sz w:val="21"/>
          <w:szCs w:val="21"/>
        </w:rPr>
        <w:t>董事会规模（</w:t>
      </w:r>
      <w:r>
        <w:rPr>
          <w:rFonts w:hint="eastAsia"/>
          <w:i/>
          <w:sz w:val="21"/>
          <w:szCs w:val="21"/>
          <w:lang w:eastAsia="zh-CN"/>
        </w:rPr>
        <w:t>Board</w:t>
      </w:r>
      <w:r>
        <w:rPr>
          <w:rFonts w:hint="eastAsia"/>
          <w:sz w:val="21"/>
          <w:szCs w:val="21"/>
        </w:rPr>
        <w:t>）</w:t>
      </w:r>
      <w:r>
        <w:rPr>
          <w:rFonts w:hint="eastAsia"/>
          <w:sz w:val="21"/>
          <w:szCs w:val="21"/>
          <w:lang w:eastAsia="zh-CN"/>
        </w:rPr>
        <w:t>、</w:t>
      </w:r>
      <w:r>
        <w:rPr>
          <w:rFonts w:hint="eastAsia"/>
          <w:sz w:val="21"/>
          <w:szCs w:val="21"/>
        </w:rPr>
        <w:t>股权集中度（</w:t>
      </w:r>
      <w:r>
        <w:rPr>
          <w:rFonts w:hint="eastAsia"/>
          <w:i/>
          <w:sz w:val="21"/>
          <w:szCs w:val="21"/>
          <w:lang w:eastAsia="zh-CN"/>
        </w:rPr>
        <w:t>Top1</w:t>
      </w:r>
      <w:r>
        <w:rPr>
          <w:rFonts w:hint="eastAsia"/>
          <w:sz w:val="21"/>
          <w:szCs w:val="21"/>
        </w:rPr>
        <w:t>）</w:t>
      </w:r>
      <w:r>
        <w:rPr>
          <w:rFonts w:hint="eastAsia"/>
          <w:sz w:val="21"/>
          <w:szCs w:val="21"/>
          <w:lang w:val="en-US" w:eastAsia="zh-CN"/>
        </w:rPr>
        <w:t>等方面的数据作为控制变量。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同时，在实证模型中加入</w:t>
      </w:r>
      <w:r>
        <w:rPr>
          <w:rFonts w:hint="eastAsia"/>
          <w:sz w:val="21"/>
          <w:szCs w:val="21"/>
        </w:rPr>
        <w:t>行业固定效应（</w:t>
      </w:r>
      <w:r>
        <w:rPr>
          <w:rFonts w:hint="eastAsia"/>
          <w:i/>
          <w:sz w:val="21"/>
          <w:szCs w:val="21"/>
          <w:lang w:eastAsia="zh-CN"/>
        </w:rPr>
        <w:t>Ind</w:t>
      </w:r>
      <w:r>
        <w:rPr>
          <w:rFonts w:hint="eastAsia"/>
          <w:sz w:val="21"/>
          <w:szCs w:val="21"/>
        </w:rPr>
        <w:t>）</w:t>
      </w:r>
      <w:r>
        <w:rPr>
          <w:rFonts w:hint="eastAsia"/>
          <w:sz w:val="21"/>
          <w:szCs w:val="21"/>
          <w:lang w:eastAsia="zh-CN"/>
        </w:rPr>
        <w:t>、</w:t>
      </w:r>
      <w:r>
        <w:rPr>
          <w:rFonts w:hint="eastAsia"/>
          <w:sz w:val="21"/>
          <w:szCs w:val="21"/>
        </w:rPr>
        <w:t>企业固定效应（</w:t>
      </w:r>
      <w:r>
        <w:rPr>
          <w:rFonts w:hint="eastAsia"/>
          <w:i/>
          <w:sz w:val="21"/>
          <w:szCs w:val="21"/>
          <w:lang w:eastAsia="zh-CN"/>
        </w:rPr>
        <w:t>Firm</w:t>
      </w:r>
      <w:r>
        <w:rPr>
          <w:rFonts w:hint="eastAsia"/>
          <w:sz w:val="21"/>
          <w:szCs w:val="21"/>
        </w:rPr>
        <w:t>）</w:t>
      </w:r>
      <w:r>
        <w:rPr>
          <w:rFonts w:hint="eastAsia"/>
          <w:sz w:val="21"/>
          <w:szCs w:val="21"/>
          <w:lang w:eastAsia="zh-CN"/>
        </w:rPr>
        <w:t>、</w:t>
      </w:r>
      <w:r>
        <w:rPr>
          <w:rFonts w:hint="eastAsia"/>
          <w:sz w:val="21"/>
          <w:szCs w:val="21"/>
        </w:rPr>
        <w:t>时间固定效应（</w:t>
      </w:r>
      <w:r>
        <w:rPr>
          <w:rFonts w:hint="eastAsia"/>
          <w:i/>
          <w:sz w:val="21"/>
          <w:szCs w:val="21"/>
          <w:lang w:eastAsia="zh-CN"/>
        </w:rPr>
        <w:t>Year</w:t>
      </w:r>
      <w:r>
        <w:rPr>
          <w:rFonts w:hint="eastAsia"/>
          <w:sz w:val="21"/>
          <w:szCs w:val="21"/>
        </w:rPr>
        <w:t>）</w:t>
      </w:r>
      <w:r>
        <w:rPr>
          <w:rFonts w:hint="eastAsia"/>
          <w:sz w:val="21"/>
          <w:szCs w:val="21"/>
          <w:lang w:val="en-US" w:eastAsia="zh-CN"/>
        </w:rPr>
        <w:t>三个变量，以排除样本期间内不可观测因素的影响</w:t>
      </w:r>
      <w:r>
        <w:rPr>
          <w:rFonts w:hint="eastAsia"/>
          <w:sz w:val="21"/>
          <w:szCs w:val="21"/>
          <w:lang w:eastAsia="zh-CN"/>
        </w:rPr>
        <w:t>。</w:t>
      </w:r>
    </w:p>
    <w:p>
      <w:pPr>
        <w:pStyle w:val="35"/>
        <w:keepNext w:val="0"/>
        <w:keepLines w:val="0"/>
        <w:pageBreakBefore w:val="0"/>
        <w:kinsoku/>
        <w:wordWrap/>
        <w:overflowPunct/>
        <w:topLinePunct w:val="0"/>
        <w:bidi w:val="0"/>
        <w:snapToGrid/>
        <w:spacing w:line="360" w:lineRule="auto"/>
        <w:textAlignment w:val="auto"/>
        <w:rPr>
          <w:rFonts w:hint="eastAsia" w:ascii="Times New Roman" w:hAnsi="Times New Roman" w:eastAsia="宋体"/>
          <w:sz w:val="21"/>
          <w:szCs w:val="21"/>
          <w:lang w:eastAsia="zh-CN"/>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宋体"/>
          <w:b/>
          <w:sz w:val="21"/>
          <w:szCs w:val="21"/>
        </w:rPr>
      </w:pPr>
      <w:r>
        <w:rPr>
          <w:rFonts w:ascii="Times New Roman" w:hAnsi="Times New Roman" w:eastAsia="宋体"/>
          <w:b/>
          <w:sz w:val="21"/>
          <w:szCs w:val="21"/>
        </w:rPr>
        <w:t>表</w:t>
      </w:r>
      <w:r>
        <w:rPr>
          <w:rFonts w:hint="eastAsia" w:ascii="Times New Roman" w:hAnsi="Times New Roman" w:eastAsia="宋体"/>
          <w:b/>
          <w:sz w:val="21"/>
          <w:szCs w:val="21"/>
          <w:lang w:val="en-US" w:eastAsia="zh-CN"/>
        </w:rPr>
        <w:t>1</w:t>
      </w:r>
      <w:r>
        <w:rPr>
          <w:rFonts w:hint="eastAsia"/>
          <w:b/>
          <w:sz w:val="21"/>
          <w:szCs w:val="21"/>
          <w:lang w:val="en-US" w:eastAsia="zh-CN"/>
        </w:rPr>
        <w:t xml:space="preserve"> </w:t>
      </w:r>
      <w:r>
        <w:rPr>
          <w:rFonts w:hint="eastAsia" w:ascii="Times New Roman" w:hAnsi="Times New Roman" w:eastAsia="宋体"/>
          <w:b/>
          <w:sz w:val="21"/>
          <w:szCs w:val="21"/>
        </w:rPr>
        <w:t>变量定义表</w:t>
      </w:r>
    </w:p>
    <w:tbl>
      <w:tblPr>
        <w:tblStyle w:val="19"/>
        <w:tblpPr w:leftFromText="180" w:rightFromText="180" w:vertAnchor="text" w:horzAnchor="margin" w:tblpXSpec="center" w:tblpY="216"/>
        <w:tblW w:w="821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9"/>
        <w:gridCol w:w="1952"/>
        <w:gridCol w:w="49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blHeader/>
        </w:trPr>
        <w:tc>
          <w:tcPr>
            <w:tcW w:w="1279" w:type="dxa"/>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变量符号</w:t>
            </w:r>
          </w:p>
        </w:tc>
        <w:tc>
          <w:tcPr>
            <w:tcW w:w="1952" w:type="dxa"/>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变量名称</w:t>
            </w:r>
          </w:p>
        </w:tc>
        <w:tc>
          <w:tcPr>
            <w:tcW w:w="4988" w:type="dxa"/>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变量定义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9"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b w:val="0"/>
                <w:bCs w:val="0"/>
                <w:i/>
                <w:sz w:val="20"/>
                <w:szCs w:val="20"/>
                <w:lang w:val="en-US" w:eastAsia="zh-CN"/>
              </w:rPr>
              <w:t>Patent</w:t>
            </w:r>
          </w:p>
        </w:tc>
        <w:tc>
          <w:tcPr>
            <w:tcW w:w="1952"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企业绿色技术创新水平</w:t>
            </w:r>
          </w:p>
        </w:tc>
        <w:tc>
          <w:tcPr>
            <w:tcW w:w="4988"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企业当年申请的绿色技术专利数量加1的自然对数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val="0"/>
                <w:sz w:val="20"/>
                <w:szCs w:val="20"/>
                <w:lang w:val="en-US" w:eastAsia="zh-CN"/>
              </w:rPr>
            </w:pPr>
            <w:r>
              <w:rPr>
                <w:rFonts w:hint="eastAsia"/>
                <w:b w:val="0"/>
                <w:bCs w:val="0"/>
                <w:i/>
                <w:sz w:val="20"/>
                <w:szCs w:val="20"/>
                <w:lang w:val="en-US" w:eastAsia="zh-CN"/>
              </w:rPr>
              <w:t>Patent1</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sz w:val="20"/>
                <w:szCs w:val="20"/>
                <w:lang w:val="en-US" w:eastAsia="zh-CN"/>
              </w:rPr>
            </w:pPr>
            <w:r>
              <w:rPr>
                <w:rFonts w:hint="eastAsia" w:ascii="Times New Roman" w:hAnsi="Times New Roman" w:eastAsia="宋体"/>
                <w:b w:val="0"/>
                <w:bCs w:val="0"/>
                <w:sz w:val="20"/>
                <w:szCs w:val="20"/>
                <w:lang w:val="en-US" w:eastAsia="zh-CN"/>
              </w:rPr>
              <w:t>企业绿色技术创新水平</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sz w:val="20"/>
                <w:szCs w:val="20"/>
                <w:lang w:val="en-US" w:eastAsia="zh-CN"/>
              </w:rPr>
            </w:pPr>
            <w:r>
              <w:rPr>
                <w:rFonts w:hint="eastAsia" w:ascii="Times New Roman" w:hAnsi="Times New Roman" w:eastAsia="宋体"/>
                <w:b w:val="0"/>
                <w:bCs w:val="0"/>
                <w:sz w:val="20"/>
                <w:szCs w:val="20"/>
                <w:lang w:val="en-US" w:eastAsia="zh-CN"/>
              </w:rPr>
              <w:t>企业当年获得的绿色技术专利数量加1的自然对数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val="en-US" w:eastAsia="zh-CN"/>
              </w:rPr>
              <w:t>Treat×Post</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双重差分项</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虚拟变量（</w:t>
            </w:r>
            <w:r>
              <w:rPr>
                <w:rFonts w:hint="eastAsia"/>
                <w:b w:val="0"/>
                <w:bCs w:val="0"/>
                <w:i/>
                <w:sz w:val="20"/>
                <w:szCs w:val="20"/>
                <w:lang w:val="en-US" w:eastAsia="zh-CN"/>
              </w:rPr>
              <w:t>Treat</w:t>
            </w:r>
            <w:r>
              <w:rPr>
                <w:rFonts w:hint="eastAsia" w:ascii="Times New Roman" w:hAnsi="Times New Roman" w:eastAsia="宋体"/>
                <w:b w:val="0"/>
                <w:bCs w:val="0"/>
                <w:sz w:val="20"/>
                <w:szCs w:val="20"/>
                <w:lang w:val="en-US" w:eastAsia="zh-CN"/>
              </w:rPr>
              <w:t>）和（</w:t>
            </w:r>
            <w:r>
              <w:rPr>
                <w:rFonts w:hint="eastAsia"/>
                <w:b w:val="0"/>
                <w:bCs w:val="0"/>
                <w:i/>
                <w:sz w:val="20"/>
                <w:szCs w:val="20"/>
                <w:lang w:val="en-US" w:eastAsia="zh-CN"/>
              </w:rPr>
              <w:t>Post</w:t>
            </w:r>
            <w:r>
              <w:rPr>
                <w:rFonts w:hint="eastAsia" w:ascii="Times New Roman" w:hAnsi="Times New Roman" w:eastAsia="宋体"/>
                <w:b w:val="0"/>
                <w:bCs w:val="0"/>
                <w:sz w:val="20"/>
                <w:szCs w:val="20"/>
                <w:lang w:val="en-US" w:eastAsia="zh-CN"/>
              </w:rPr>
              <w:t>）的交乘项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b w:val="0"/>
                <w:bCs w:val="0"/>
                <w:i/>
                <w:sz w:val="20"/>
                <w:szCs w:val="20"/>
                <w:lang w:val="en-US" w:eastAsia="zh-CN"/>
              </w:rPr>
              <w:t>Treat</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实验虚拟变量</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虚拟变量，</w:t>
            </w:r>
            <w:r>
              <w:rPr>
                <w:rFonts w:hint="eastAsia" w:ascii="Times New Roman" w:hAnsi="Times New Roman" w:eastAsia="宋体"/>
                <w:sz w:val="20"/>
                <w:szCs w:val="20"/>
                <w:lang w:val="en-US" w:eastAsia="zh-CN"/>
              </w:rPr>
              <w:t>若上市公司属于A类行业则为1，否则为0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b w:val="0"/>
                <w:bCs w:val="0"/>
                <w:i/>
                <w:sz w:val="20"/>
                <w:szCs w:val="20"/>
                <w:lang w:val="en-US" w:eastAsia="zh-CN"/>
              </w:rPr>
              <w:t>Post</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政策时点虚拟变量</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0"/>
                <w:szCs w:val="20"/>
                <w:lang w:val="en-US"/>
              </w:rPr>
            </w:pPr>
            <w:r>
              <w:rPr>
                <w:rFonts w:hint="eastAsia" w:ascii="Times New Roman" w:hAnsi="Times New Roman" w:eastAsia="宋体"/>
                <w:sz w:val="20"/>
                <w:szCs w:val="20"/>
                <w:lang w:val="en-US" w:eastAsia="zh-CN"/>
              </w:rPr>
              <w:t>虚拟变量，若年份大于等于2012则为1，否则为0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b w:val="0"/>
                <w:bCs w:val="0"/>
                <w:i/>
                <w:sz w:val="20"/>
                <w:szCs w:val="20"/>
                <w:lang w:val="en-US" w:eastAsia="zh-CN"/>
              </w:rPr>
              <w:t>Lev</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杠杆水平</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企业总负债/总资产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val="en-US" w:eastAsia="zh-CN"/>
              </w:rPr>
              <w:t>Size</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企业规模</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总资产的自然对数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val="en-US" w:eastAsia="zh-CN"/>
              </w:rPr>
              <w:t>Age</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企业上市年龄</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0"/>
                <w:szCs w:val="20"/>
                <w:lang w:val="en-US"/>
              </w:rPr>
            </w:pPr>
            <w:r>
              <w:rPr>
                <w:rFonts w:hint="eastAsia" w:ascii="Times New Roman" w:hAnsi="Times New Roman" w:eastAsia="宋体"/>
                <w:sz w:val="20"/>
                <w:szCs w:val="20"/>
                <w:lang w:val="en-US" w:eastAsia="zh-CN"/>
              </w:rPr>
              <w:t>（年份-上市年份）的自然对数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b w:val="0"/>
                <w:bCs w:val="0"/>
                <w:i/>
                <w:sz w:val="20"/>
                <w:szCs w:val="20"/>
                <w:lang w:val="en-US" w:eastAsia="zh-CN"/>
              </w:rPr>
              <w:t>ROA</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总资产收益率</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b w:val="0"/>
                <w:bCs w:val="0"/>
                <w:sz w:val="20"/>
                <w:szCs w:val="20"/>
                <w:lang w:val="en-US" w:eastAsia="zh-CN"/>
              </w:rPr>
              <w:t>企业净利润/总资产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val="en-US" w:eastAsia="zh-CN"/>
              </w:rPr>
              <w:t>Growth</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企业成长性</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企业营业收入增长率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val="en-US" w:eastAsia="zh-CN"/>
              </w:rPr>
            </w:pPr>
            <w:r>
              <w:rPr>
                <w:rFonts w:hint="eastAsia"/>
                <w:i/>
                <w:sz w:val="20"/>
                <w:szCs w:val="20"/>
                <w:lang w:val="en-US" w:eastAsia="zh-CN"/>
              </w:rPr>
              <w:t>Board</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董事会规模</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rPr>
            </w:pPr>
            <w:r>
              <w:rPr>
                <w:rFonts w:hint="eastAsia" w:ascii="Times New Roman" w:hAnsi="Times New Roman" w:eastAsia="宋体"/>
                <w:sz w:val="20"/>
                <w:szCs w:val="20"/>
              </w:rPr>
              <w:t>董事会人数的自然对数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val="en-US" w:eastAsia="zh-CN"/>
              </w:rPr>
            </w:pPr>
            <w:r>
              <w:rPr>
                <w:rFonts w:hint="eastAsia"/>
                <w:i/>
                <w:sz w:val="20"/>
                <w:szCs w:val="20"/>
                <w:lang w:val="en-US" w:eastAsia="zh-CN"/>
              </w:rPr>
              <w:t>Top1</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股权集中度</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第一大股东持股比例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val="en-US" w:eastAsia="zh-CN"/>
              </w:rPr>
            </w:pPr>
            <w:r>
              <w:rPr>
                <w:rFonts w:hint="eastAsia"/>
                <w:i/>
                <w:sz w:val="20"/>
                <w:szCs w:val="20"/>
                <w:lang w:val="en-US" w:eastAsia="zh-CN"/>
              </w:rPr>
              <w:t>Ind</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虚拟变量</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rPr>
            </w:pPr>
            <w:r>
              <w:rPr>
                <w:rFonts w:hint="eastAsia" w:ascii="Times New Roman" w:hAnsi="Times New Roman" w:eastAsia="宋体"/>
                <w:sz w:val="20"/>
                <w:szCs w:val="20"/>
                <w:lang w:val="en-US" w:eastAsia="zh-CN"/>
              </w:rPr>
              <w:t>行业固定效应</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val="en-US" w:eastAsia="zh-CN"/>
              </w:rPr>
              <w:t>Firm</w:t>
            </w:r>
          </w:p>
        </w:tc>
        <w:tc>
          <w:tcPr>
            <w:tcW w:w="19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虚拟变量</w:t>
            </w:r>
          </w:p>
        </w:tc>
        <w:tc>
          <w:tcPr>
            <w:tcW w:w="49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企业固定效应</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7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val="en-US" w:eastAsia="zh-CN"/>
              </w:rPr>
              <w:t>Year</w:t>
            </w:r>
          </w:p>
        </w:tc>
        <w:tc>
          <w:tcPr>
            <w:tcW w:w="195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虚拟变量</w:t>
            </w:r>
          </w:p>
        </w:tc>
        <w:tc>
          <w:tcPr>
            <w:tcW w:w="498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lang w:val="en-US" w:eastAsia="zh-CN"/>
              </w:rPr>
              <w:t>时间固定效应</w:t>
            </w:r>
          </w:p>
        </w:tc>
      </w:tr>
    </w:tbl>
    <w:p>
      <w:pPr>
        <w:pStyle w:val="35"/>
        <w:keepNext w:val="0"/>
        <w:keepLines w:val="0"/>
        <w:pageBreakBefore w:val="0"/>
        <w:kinsoku/>
        <w:wordWrap/>
        <w:overflowPunct/>
        <w:topLinePunct w:val="0"/>
        <w:bidi w:val="0"/>
        <w:snapToGrid/>
        <w:spacing w:line="360" w:lineRule="auto"/>
        <w:textAlignment w:val="auto"/>
        <w:rPr>
          <w:rFonts w:ascii="Times New Roman" w:hAnsi="Times New Roman" w:eastAsia="宋体"/>
          <w:sz w:val="21"/>
          <w:szCs w:val="21"/>
        </w:rPr>
      </w:pP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rPr>
      </w:pPr>
      <w:bookmarkStart w:id="6" w:name="_Toc19272"/>
      <w:r>
        <w:rPr>
          <w:rFonts w:hint="eastAsia" w:ascii="Times New Roman" w:hAnsi="Times New Roman"/>
          <w:sz w:val="24"/>
          <w:szCs w:val="24"/>
        </w:rPr>
        <w:t>（</w:t>
      </w:r>
      <w:r>
        <w:rPr>
          <w:rFonts w:hint="eastAsia"/>
          <w:sz w:val="24"/>
          <w:szCs w:val="24"/>
          <w:lang w:val="en-US" w:eastAsia="zh-CN"/>
        </w:rPr>
        <w:t>三</w:t>
      </w:r>
      <w:r>
        <w:rPr>
          <w:rFonts w:hint="eastAsia" w:ascii="Times New Roman" w:hAnsi="Times New Roman"/>
          <w:sz w:val="24"/>
          <w:szCs w:val="24"/>
        </w:rPr>
        <w:t>）</w:t>
      </w:r>
      <w:r>
        <w:rPr>
          <w:rFonts w:hint="eastAsia" w:ascii="Times New Roman" w:hAnsi="Times New Roman" w:eastAsia="宋体"/>
          <w:sz w:val="24"/>
          <w:szCs w:val="24"/>
          <w:lang w:val="en-US" w:eastAsia="zh-CN"/>
        </w:rPr>
        <w:t>模型设定</w:t>
      </w:r>
    </w:p>
    <w:bookmarkEnd w:id="6"/>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为了验证绿色信贷政策对企业绿色技术创新的影响，建立如下双重差分模型：</w:t>
      </w:r>
    </w:p>
    <w:p>
      <w:pPr>
        <w:adjustRightInd w:val="0"/>
        <w:snapToGrid w:val="0"/>
        <w:spacing w:line="360" w:lineRule="auto"/>
        <w:ind w:firstLine="420" w:firstLineChars="200"/>
        <w:jc w:val="right"/>
        <w:rPr>
          <w:rFonts w:hint="eastAsia" w:ascii="Times New Roman" w:hAnsi="Times New Roman" w:eastAsia="宋体"/>
          <w:position w:val="-14"/>
          <w:sz w:val="21"/>
          <w:szCs w:val="21"/>
          <w:highlight w:val="none"/>
          <w:lang w:val="en-US" w:eastAsia="zh-CN"/>
        </w:rPr>
      </w:pPr>
      <w:r>
        <w:rPr>
          <w:rFonts w:hint="default" w:ascii="Times New Roman" w:hAnsi="Times New Roman" w:eastAsia="宋体"/>
          <w:position w:val="-14"/>
          <w:sz w:val="21"/>
          <w:szCs w:val="21"/>
          <w:highlight w:val="none"/>
          <w:lang w:val="en-US" w:eastAsia="zh-CN"/>
        </w:rPr>
        <w:object>
          <v:shape id="_x0000_i1025" o:spt="75" type="#_x0000_t75" style="height:20pt;width:34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Times New Roman" w:eastAsia="宋体"/>
          <w:position w:val="-14"/>
          <w:sz w:val="21"/>
          <w:szCs w:val="21"/>
          <w:highlight w:val="none"/>
          <w:lang w:val="en-US" w:eastAsia="zh-CN"/>
        </w:rPr>
        <w:t xml:space="preserve">     </w:t>
      </w:r>
      <w:r>
        <w:rPr>
          <w:rFonts w:hint="eastAsia" w:ascii="Times New Roman" w:hAnsi="Times New Roman"/>
        </w:rPr>
        <w:t>（</w:t>
      </w:r>
      <w:r>
        <w:rPr>
          <w:rFonts w:ascii="Times New Roman" w:hAnsi="Times New Roman"/>
        </w:rPr>
        <w:t>1</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lang w:val="en-US" w:eastAsia="zh-CN"/>
        </w:rPr>
        <w:t>上述模型中，</w:t>
      </w:r>
      <w:r>
        <w:rPr>
          <w:rFonts w:hint="eastAsia"/>
          <w:i/>
          <w:sz w:val="21"/>
          <w:szCs w:val="21"/>
          <w:lang w:eastAsia="zh-CN"/>
        </w:rPr>
        <w:t>Patent</w:t>
      </w:r>
      <w:r>
        <w:rPr>
          <w:rFonts w:hint="eastAsia"/>
          <w:sz w:val="21"/>
          <w:szCs w:val="21"/>
          <w:vertAlign w:val="subscript"/>
        </w:rPr>
        <w:t>it</w:t>
      </w:r>
      <w:r>
        <w:rPr>
          <w:rFonts w:hint="eastAsia"/>
          <w:sz w:val="21"/>
          <w:szCs w:val="21"/>
          <w:lang w:val="en-US" w:eastAsia="zh-CN"/>
        </w:rPr>
        <w:t>表示</w:t>
      </w:r>
      <w:r>
        <w:rPr>
          <w:rFonts w:hint="eastAsia"/>
          <w:sz w:val="21"/>
          <w:szCs w:val="21"/>
        </w:rPr>
        <w:t>企业i第t年的绿色技术创新水平</w:t>
      </w:r>
      <w:r>
        <w:rPr>
          <w:rFonts w:hint="eastAsia"/>
          <w:sz w:val="21"/>
          <w:szCs w:val="21"/>
          <w:lang w:eastAsia="zh-CN"/>
        </w:rPr>
        <w:t>。</w:t>
      </w:r>
      <w:r>
        <w:rPr>
          <w:rFonts w:hint="eastAsia"/>
          <w:i/>
          <w:sz w:val="21"/>
          <w:szCs w:val="21"/>
          <w:lang w:eastAsia="zh-CN"/>
        </w:rPr>
        <w:t>Treat×Post</w:t>
      </w:r>
      <w:r>
        <w:rPr>
          <w:rFonts w:hint="eastAsia"/>
          <w:sz w:val="21"/>
          <w:szCs w:val="21"/>
        </w:rPr>
        <w:t>为双重差分项，</w:t>
      </w:r>
      <w:r>
        <w:rPr>
          <w:rFonts w:hint="eastAsia"/>
          <w:i/>
          <w:sz w:val="21"/>
          <w:szCs w:val="21"/>
          <w:lang w:eastAsia="zh-CN"/>
        </w:rPr>
        <w:t>Treat</w:t>
      </w:r>
      <w:r>
        <w:rPr>
          <w:rFonts w:hint="eastAsia"/>
          <w:sz w:val="21"/>
          <w:szCs w:val="21"/>
        </w:rPr>
        <w:t>为</w:t>
      </w:r>
      <w:r>
        <w:rPr>
          <w:rFonts w:hint="eastAsia"/>
          <w:sz w:val="21"/>
          <w:szCs w:val="21"/>
          <w:lang w:val="en-US" w:eastAsia="zh-CN"/>
        </w:rPr>
        <w:t>实验</w:t>
      </w:r>
      <w:r>
        <w:rPr>
          <w:rFonts w:hint="eastAsia"/>
          <w:sz w:val="21"/>
          <w:szCs w:val="21"/>
        </w:rPr>
        <w:t>虚拟变量，</w:t>
      </w:r>
      <w:r>
        <w:rPr>
          <w:rFonts w:hint="eastAsia"/>
          <w:i/>
          <w:sz w:val="21"/>
          <w:szCs w:val="21"/>
          <w:lang w:eastAsia="zh-CN"/>
        </w:rPr>
        <w:t>Post</w:t>
      </w:r>
      <w:r>
        <w:rPr>
          <w:rFonts w:hint="eastAsia"/>
          <w:sz w:val="21"/>
          <w:szCs w:val="21"/>
        </w:rPr>
        <w:t>为政策时点虚拟变量</w:t>
      </w:r>
      <w:r>
        <w:rPr>
          <w:rFonts w:hint="eastAsia"/>
          <w:sz w:val="21"/>
          <w:szCs w:val="21"/>
          <w:lang w:eastAsia="zh-CN"/>
        </w:rPr>
        <w:t>。</w:t>
      </w:r>
      <w:r>
        <w:rPr>
          <w:rFonts w:hint="eastAsia"/>
          <w:sz w:val="21"/>
          <w:szCs w:val="21"/>
        </w:rPr>
        <w:t>X为控制变量合集，包括杠杆水平（</w:t>
      </w:r>
      <w:r>
        <w:rPr>
          <w:rFonts w:hint="eastAsia"/>
          <w:i/>
          <w:sz w:val="21"/>
          <w:szCs w:val="21"/>
          <w:lang w:eastAsia="zh-CN"/>
        </w:rPr>
        <w:t>Lev</w:t>
      </w:r>
      <w:r>
        <w:rPr>
          <w:rFonts w:hint="eastAsia"/>
          <w:sz w:val="21"/>
          <w:szCs w:val="21"/>
        </w:rPr>
        <w:t>）、企业规模（</w:t>
      </w:r>
      <w:r>
        <w:rPr>
          <w:rFonts w:hint="eastAsia"/>
          <w:i/>
          <w:sz w:val="21"/>
          <w:szCs w:val="21"/>
          <w:lang w:eastAsia="zh-CN"/>
        </w:rPr>
        <w:t>Size</w:t>
      </w:r>
      <w:r>
        <w:rPr>
          <w:rFonts w:hint="eastAsia"/>
          <w:sz w:val="21"/>
          <w:szCs w:val="21"/>
        </w:rPr>
        <w:t>）、企业</w:t>
      </w:r>
      <w:r>
        <w:rPr>
          <w:rFonts w:hint="eastAsia"/>
          <w:sz w:val="21"/>
          <w:szCs w:val="21"/>
          <w:lang w:val="en-US" w:eastAsia="zh-CN"/>
        </w:rPr>
        <w:t>上市</w:t>
      </w:r>
      <w:r>
        <w:rPr>
          <w:rFonts w:hint="eastAsia"/>
          <w:sz w:val="21"/>
          <w:szCs w:val="21"/>
        </w:rPr>
        <w:t>年龄（</w:t>
      </w:r>
      <w:r>
        <w:rPr>
          <w:rFonts w:hint="eastAsia"/>
          <w:i/>
          <w:sz w:val="21"/>
          <w:szCs w:val="21"/>
          <w:lang w:eastAsia="zh-CN"/>
        </w:rPr>
        <w:t>Age</w:t>
      </w:r>
      <w:r>
        <w:rPr>
          <w:rFonts w:hint="eastAsia"/>
          <w:sz w:val="21"/>
          <w:szCs w:val="21"/>
        </w:rPr>
        <w:t>）、总资产收益率（</w:t>
      </w:r>
      <w:r>
        <w:rPr>
          <w:rFonts w:hint="eastAsia"/>
          <w:i/>
          <w:sz w:val="21"/>
          <w:szCs w:val="21"/>
          <w:lang w:eastAsia="zh-CN"/>
        </w:rPr>
        <w:t>ROA</w:t>
      </w:r>
      <w:r>
        <w:rPr>
          <w:rFonts w:hint="eastAsia"/>
          <w:sz w:val="21"/>
          <w:szCs w:val="21"/>
        </w:rPr>
        <w:t>）、企业成长性（</w:t>
      </w:r>
      <w:r>
        <w:rPr>
          <w:rFonts w:hint="eastAsia"/>
          <w:i/>
          <w:sz w:val="21"/>
          <w:szCs w:val="21"/>
          <w:lang w:eastAsia="zh-CN"/>
        </w:rPr>
        <w:t>Growth</w:t>
      </w:r>
      <w:r>
        <w:rPr>
          <w:rFonts w:hint="eastAsia"/>
          <w:sz w:val="21"/>
          <w:szCs w:val="21"/>
        </w:rPr>
        <w:t>）、董事会规模（</w:t>
      </w:r>
      <w:r>
        <w:rPr>
          <w:rFonts w:hint="eastAsia"/>
          <w:i/>
          <w:sz w:val="21"/>
          <w:szCs w:val="21"/>
          <w:lang w:eastAsia="zh-CN"/>
        </w:rPr>
        <w:t>Board</w:t>
      </w:r>
      <w:r>
        <w:rPr>
          <w:rFonts w:hint="eastAsia"/>
          <w:sz w:val="21"/>
          <w:szCs w:val="21"/>
        </w:rPr>
        <w:t>）</w:t>
      </w:r>
      <w:r>
        <w:rPr>
          <w:rFonts w:hint="eastAsia"/>
          <w:sz w:val="21"/>
          <w:szCs w:val="21"/>
          <w:lang w:val="en-US" w:eastAsia="zh-CN"/>
        </w:rPr>
        <w:t>和</w:t>
      </w:r>
      <w:r>
        <w:rPr>
          <w:rFonts w:hint="eastAsia"/>
          <w:sz w:val="21"/>
          <w:szCs w:val="21"/>
        </w:rPr>
        <w:t>股权集中度（</w:t>
      </w:r>
      <w:r>
        <w:rPr>
          <w:rFonts w:hint="eastAsia"/>
          <w:i/>
          <w:sz w:val="21"/>
          <w:szCs w:val="21"/>
          <w:lang w:eastAsia="zh-CN"/>
        </w:rPr>
        <w:t>Top1</w:t>
      </w:r>
      <w:r>
        <w:rPr>
          <w:rFonts w:hint="eastAsia"/>
          <w:sz w:val="21"/>
          <w:szCs w:val="21"/>
        </w:rPr>
        <w:t>）</w:t>
      </w:r>
      <w:r>
        <w:rPr>
          <w:rFonts w:hint="eastAsia"/>
          <w:sz w:val="21"/>
          <w:szCs w:val="21"/>
          <w:lang w:eastAsia="zh-CN"/>
        </w:rPr>
        <w:t>。</w:t>
      </w:r>
      <w:r>
        <w:rPr>
          <w:rFonts w:hint="eastAsia"/>
          <w:i/>
          <w:sz w:val="21"/>
          <w:szCs w:val="21"/>
          <w:lang w:eastAsia="zh-CN"/>
        </w:rPr>
        <w:t>Ind</w:t>
      </w:r>
      <w:r>
        <w:rPr>
          <w:rFonts w:hint="eastAsia"/>
          <w:sz w:val="21"/>
          <w:szCs w:val="21"/>
        </w:rPr>
        <w:t>为行业固定效应，</w:t>
      </w:r>
      <w:r>
        <w:rPr>
          <w:rFonts w:hint="eastAsia"/>
          <w:i/>
          <w:sz w:val="21"/>
          <w:szCs w:val="21"/>
          <w:lang w:eastAsia="zh-CN"/>
        </w:rPr>
        <w:t>Firm</w:t>
      </w:r>
      <w:r>
        <w:rPr>
          <w:rFonts w:hint="eastAsia"/>
          <w:sz w:val="21"/>
          <w:szCs w:val="21"/>
        </w:rPr>
        <w:t>为企业固定效应，</w:t>
      </w:r>
      <w:r>
        <w:rPr>
          <w:rFonts w:hint="eastAsia"/>
          <w:i/>
          <w:sz w:val="21"/>
          <w:szCs w:val="21"/>
          <w:lang w:eastAsia="zh-CN"/>
        </w:rPr>
        <w:t>Year</w:t>
      </w:r>
      <w:r>
        <w:rPr>
          <w:rFonts w:hint="eastAsia"/>
          <w:sz w:val="21"/>
          <w:szCs w:val="21"/>
        </w:rPr>
        <w:t>为时间固定效应，由于加入了行业、个体和时间的固定效应，为防止多重共线性，模型中不再单独加入</w:t>
      </w:r>
      <w:r>
        <w:rPr>
          <w:rFonts w:hint="eastAsia"/>
          <w:i/>
          <w:sz w:val="21"/>
          <w:szCs w:val="21"/>
          <w:lang w:eastAsia="zh-CN"/>
        </w:rPr>
        <w:t>Treat</w:t>
      </w:r>
      <w:r>
        <w:rPr>
          <w:rFonts w:hint="eastAsia"/>
          <w:sz w:val="21"/>
          <w:szCs w:val="21"/>
        </w:rPr>
        <w:t>、</w:t>
      </w:r>
      <w:r>
        <w:rPr>
          <w:rFonts w:hint="eastAsia"/>
          <w:i/>
          <w:sz w:val="21"/>
          <w:szCs w:val="21"/>
          <w:lang w:eastAsia="zh-CN"/>
        </w:rPr>
        <w:t>Post</w:t>
      </w:r>
      <w:r>
        <w:rPr>
          <w:rFonts w:hint="eastAsia"/>
          <w:sz w:val="21"/>
          <w:szCs w:val="21"/>
        </w:rPr>
        <w:t>项</w:t>
      </w:r>
      <w:r>
        <w:rPr>
          <w:rFonts w:hint="eastAsia"/>
          <w:sz w:val="21"/>
          <w:szCs w:val="21"/>
          <w:lang w:eastAsia="zh-CN"/>
        </w:rPr>
        <w:t>。</w:t>
      </w:r>
      <w:r>
        <w:rPr>
          <w:rFonts w:hint="default"/>
          <w:i/>
          <w:sz w:val="21"/>
          <w:szCs w:val="21"/>
        </w:rPr>
        <w:t>ε</w:t>
      </w:r>
      <w:r>
        <w:rPr>
          <w:rFonts w:hint="eastAsia"/>
          <w:sz w:val="21"/>
          <w:szCs w:val="21"/>
        </w:rPr>
        <w:t>表示随机扰动项。</w:t>
      </w:r>
      <w:bookmarkStart w:id="22" w:name="_GoBack"/>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lang w:val="en-US" w:eastAsia="zh-CN"/>
        </w:rPr>
        <w:t>模型中，</w:t>
      </w:r>
      <w:r>
        <w:rPr>
          <w:rFonts w:hint="eastAsia"/>
          <w:sz w:val="21"/>
          <w:szCs w:val="21"/>
        </w:rPr>
        <w:t>若</w:t>
      </w:r>
      <w:r>
        <w:rPr>
          <w:rFonts w:hint="eastAsia"/>
          <w:i/>
          <w:sz w:val="21"/>
          <w:szCs w:val="21"/>
          <w:lang w:eastAsia="zh-CN"/>
        </w:rPr>
        <w:t>Treat×Post</w:t>
      </w:r>
      <w:r>
        <w:rPr>
          <w:rFonts w:hint="eastAsia"/>
          <w:sz w:val="21"/>
          <w:szCs w:val="21"/>
          <w:lang w:val="en-US" w:eastAsia="zh-CN"/>
        </w:rPr>
        <w:t>项的系数</w:t>
      </w:r>
      <w:r>
        <w:rPr>
          <w:rFonts w:hint="eastAsia"/>
          <w:sz w:val="21"/>
          <w:szCs w:val="21"/>
        </w:rPr>
        <w:t>显著为正，则</w:t>
      </w:r>
      <w:r>
        <w:rPr>
          <w:rFonts w:hint="eastAsia"/>
          <w:sz w:val="21"/>
          <w:szCs w:val="21"/>
          <w:lang w:val="en-US" w:eastAsia="zh-CN"/>
        </w:rPr>
        <w:t>说明</w:t>
      </w:r>
      <w:r>
        <w:rPr>
          <w:rFonts w:hint="eastAsia"/>
          <w:sz w:val="21"/>
          <w:szCs w:val="21"/>
        </w:rPr>
        <w:t>绿色信贷政策促进了企业的绿色技术创新</w:t>
      </w:r>
      <w:r>
        <w:rPr>
          <w:rFonts w:hint="eastAsia"/>
          <w:sz w:val="21"/>
          <w:szCs w:val="21"/>
          <w:lang w:eastAsia="zh-CN"/>
        </w:rPr>
        <w:t>；</w:t>
      </w:r>
      <w:r>
        <w:rPr>
          <w:rFonts w:hint="eastAsia"/>
          <w:sz w:val="21"/>
          <w:szCs w:val="21"/>
        </w:rPr>
        <w:t>若显著为负，则</w:t>
      </w:r>
      <w:r>
        <w:rPr>
          <w:rFonts w:hint="eastAsia"/>
          <w:sz w:val="21"/>
          <w:szCs w:val="21"/>
          <w:lang w:val="en-US" w:eastAsia="zh-CN"/>
        </w:rPr>
        <w:t>表示</w:t>
      </w:r>
      <w:r>
        <w:rPr>
          <w:rFonts w:hint="eastAsia"/>
          <w:sz w:val="21"/>
          <w:szCs w:val="21"/>
        </w:rPr>
        <w:t>绿色信贷政策抑制了企业的绿色技术创新。</w:t>
      </w:r>
    </w:p>
    <w:p>
      <w:pPr>
        <w:pStyle w:val="3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sz w:val="21"/>
          <w:szCs w:val="21"/>
        </w:rPr>
      </w:pPr>
    </w:p>
    <w:p>
      <w:pPr>
        <w:pStyle w:val="39"/>
        <w:bidi w:val="0"/>
        <w:rPr>
          <w:rFonts w:hint="eastAsia"/>
          <w:sz w:val="28"/>
          <w:szCs w:val="28"/>
        </w:rPr>
      </w:pPr>
      <w:bookmarkStart w:id="7" w:name="_Toc4394"/>
      <w:r>
        <w:rPr>
          <w:rFonts w:hint="eastAsia"/>
          <w:sz w:val="28"/>
          <w:szCs w:val="28"/>
          <w:lang w:val="en-US" w:eastAsia="zh-CN"/>
        </w:rPr>
        <w:t>四、</w:t>
      </w:r>
      <w:r>
        <w:rPr>
          <w:rFonts w:hint="eastAsia"/>
          <w:sz w:val="28"/>
          <w:szCs w:val="28"/>
        </w:rPr>
        <w:t>实证分析</w:t>
      </w:r>
      <w:bookmarkEnd w:id="7"/>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lang w:val="en-US" w:eastAsia="zh-CN"/>
        </w:rPr>
      </w:pPr>
      <w:bookmarkStart w:id="8" w:name="_Toc12050"/>
      <w:r>
        <w:rPr>
          <w:rFonts w:hint="eastAsia" w:ascii="Times New Roman" w:hAnsi="Times New Roman"/>
          <w:sz w:val="24"/>
          <w:szCs w:val="24"/>
        </w:rPr>
        <w:t>（一）</w:t>
      </w:r>
      <w:r>
        <w:rPr>
          <w:rFonts w:hint="eastAsia" w:ascii="Times New Roman" w:hAnsi="Times New Roman" w:eastAsia="宋体" w:cs="宋体"/>
          <w:sz w:val="24"/>
          <w:szCs w:val="24"/>
          <w:lang w:val="en-US" w:eastAsia="zh-CN"/>
        </w:rPr>
        <w:t>变量描述性统计</w:t>
      </w:r>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表2显示了各变量的样本量、均值、标准差、最小值和最大值。聚焦于</w:t>
      </w:r>
      <w:r>
        <w:rPr>
          <w:rFonts w:hint="eastAsia" w:ascii="Times New Roman" w:hAnsi="Times New Roman" w:eastAsia="宋体"/>
          <w:sz w:val="21"/>
          <w:szCs w:val="21"/>
        </w:rPr>
        <w:t>企业绿色技术创新水平（</w:t>
      </w:r>
      <w:r>
        <w:rPr>
          <w:rFonts w:hint="eastAsia"/>
          <w:i/>
          <w:sz w:val="21"/>
          <w:szCs w:val="21"/>
          <w:lang w:eastAsia="zh-CN"/>
        </w:rPr>
        <w:t>Patent</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，其最小值为0，最大值为3.71，显示出不同企业之间创新水平的巨大差异。对于</w:t>
      </w:r>
      <w:r>
        <w:rPr>
          <w:rFonts w:hint="eastAsia" w:ascii="Times New Roman" w:hAnsi="Times New Roman" w:eastAsia="宋体"/>
          <w:sz w:val="21"/>
          <w:szCs w:val="21"/>
        </w:rPr>
        <w:t>杠杆水平（</w:t>
      </w:r>
      <w:r>
        <w:rPr>
          <w:rFonts w:hint="eastAsia"/>
          <w:i/>
          <w:sz w:val="21"/>
          <w:szCs w:val="21"/>
          <w:lang w:eastAsia="zh-CN"/>
        </w:rPr>
        <w:t>Lev</w:t>
      </w:r>
      <w:r>
        <w:rPr>
          <w:rFonts w:hint="eastAsia" w:ascii="Times New Roman" w:hAnsi="Times New Roman" w:eastAsia="宋体"/>
          <w:sz w:val="21"/>
          <w:szCs w:val="21"/>
        </w:rPr>
        <w:t>）</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其均值为0.41，最小值为0.05，最大值更是达到了0.89，表明企业无可例外地需要金融业务的支撑。成长性企业是可持续发展的基石，对于绿色发展起到了至关重要的作用，但对于</w:t>
      </w:r>
      <w:r>
        <w:rPr>
          <w:rFonts w:hint="eastAsia" w:ascii="Times New Roman" w:hAnsi="Times New Roman" w:eastAsia="宋体"/>
          <w:sz w:val="21"/>
          <w:szCs w:val="21"/>
        </w:rPr>
        <w:t>企业成长性（</w:t>
      </w:r>
      <w:r>
        <w:rPr>
          <w:rFonts w:hint="eastAsia"/>
          <w:i/>
          <w:sz w:val="21"/>
          <w:szCs w:val="21"/>
          <w:lang w:eastAsia="zh-CN"/>
        </w:rPr>
        <w:t>Growth</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这一指标来说，其最大值为2.0</w:t>
      </w:r>
      <w:r>
        <w:rPr>
          <w:rFonts w:hint="eastAsia"/>
          <w:sz w:val="21"/>
          <w:szCs w:val="21"/>
          <w:lang w:val="en-US" w:eastAsia="zh-CN"/>
        </w:rPr>
        <w:t>8</w:t>
      </w:r>
      <w:r>
        <w:rPr>
          <w:rFonts w:hint="eastAsia" w:ascii="Times New Roman" w:hAnsi="Times New Roman" w:eastAsia="宋体"/>
          <w:sz w:val="21"/>
          <w:szCs w:val="21"/>
          <w:lang w:val="en-US" w:eastAsia="zh-CN"/>
        </w:rPr>
        <w:t>，最小值为负数，说明不同企业的发展状况存在较大差异。其余各变量的统计结果也都基本符合企业的现实经济状况。</w:t>
      </w:r>
    </w:p>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sz w:val="21"/>
          <w:szCs w:val="21"/>
          <w:lang w:val="en-US" w:eastAsia="zh-CN"/>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表2 变量描述性统计结果</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2"/>
        <w:gridCol w:w="1617"/>
        <w:gridCol w:w="1152"/>
        <w:gridCol w:w="1152"/>
        <w:gridCol w:w="1152"/>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single" w:color="auto" w:sz="12" w:space="0"/>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default" w:ascii="Times New Roman" w:hAnsi="Times New Roman" w:eastAsia="宋体"/>
                <w:sz w:val="20"/>
                <w:szCs w:val="20"/>
              </w:rPr>
              <w:t>VARIABLES</w:t>
            </w:r>
          </w:p>
        </w:tc>
        <w:tc>
          <w:tcPr>
            <w:tcW w:w="1617" w:type="dxa"/>
            <w:tcBorders>
              <w:top w:val="single" w:color="auto" w:sz="12" w:space="0"/>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样本量</w:t>
            </w:r>
          </w:p>
        </w:tc>
        <w:tc>
          <w:tcPr>
            <w:tcW w:w="1152" w:type="dxa"/>
            <w:tcBorders>
              <w:top w:val="single" w:color="auto" w:sz="12" w:space="0"/>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均值</w:t>
            </w:r>
          </w:p>
        </w:tc>
        <w:tc>
          <w:tcPr>
            <w:tcW w:w="1152" w:type="dxa"/>
            <w:tcBorders>
              <w:top w:val="single" w:color="auto" w:sz="12" w:space="0"/>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标准差</w:t>
            </w:r>
          </w:p>
        </w:tc>
        <w:tc>
          <w:tcPr>
            <w:tcW w:w="1152" w:type="dxa"/>
            <w:tcBorders>
              <w:top w:val="single" w:color="auto" w:sz="12" w:space="0"/>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最小值</w:t>
            </w:r>
          </w:p>
        </w:tc>
        <w:tc>
          <w:tcPr>
            <w:tcW w:w="1152" w:type="dxa"/>
            <w:tcBorders>
              <w:top w:val="single" w:color="auto" w:sz="12" w:space="0"/>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最大值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472" w:type="dxa"/>
            <w:tcBorders>
              <w:top w:val="single" w:color="auto" w:sz="6"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Patent</w:t>
            </w:r>
          </w:p>
        </w:tc>
        <w:tc>
          <w:tcPr>
            <w:tcW w:w="1617" w:type="dxa"/>
            <w:tcBorders>
              <w:top w:val="single" w:color="auto" w:sz="6"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single" w:color="auto" w:sz="6"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0.4999</w:t>
            </w:r>
          </w:p>
        </w:tc>
        <w:tc>
          <w:tcPr>
            <w:tcW w:w="1152" w:type="dxa"/>
            <w:tcBorders>
              <w:top w:val="single" w:color="auto" w:sz="6"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0.8745</w:t>
            </w:r>
          </w:p>
        </w:tc>
        <w:tc>
          <w:tcPr>
            <w:tcW w:w="1152" w:type="dxa"/>
            <w:tcBorders>
              <w:top w:val="single" w:color="auto" w:sz="6"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0.0000</w:t>
            </w:r>
          </w:p>
        </w:tc>
        <w:tc>
          <w:tcPr>
            <w:tcW w:w="1152" w:type="dxa"/>
            <w:tcBorders>
              <w:top w:val="single" w:color="auto" w:sz="6"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3.7136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Patent1</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0.4068</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0.7576</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0.0000</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3.4012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Treat×Post</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0.0477</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0.2132</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0.0000</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Lev</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0.4136</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0.2006</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0.0530</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Size</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22.1354</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1.2397</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19.9530</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26.0310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Age</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2.7224</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0.4058</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1.3863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3.4340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lang w:val="en-US" w:eastAsia="zh-CN"/>
              </w:rPr>
            </w:pPr>
            <w:r>
              <w:rPr>
                <w:rFonts w:hint="eastAsia" w:cs="Times New Roman"/>
                <w:i/>
                <w:sz w:val="20"/>
                <w:szCs w:val="20"/>
                <w:lang w:val="en-US" w:eastAsia="zh-CN"/>
              </w:rPr>
              <w:t>ROA</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0.0344</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0.0685</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-0.3227</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Growth</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0.1611</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0.3589</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-0.5089</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Board</w:t>
            </w:r>
          </w:p>
        </w:tc>
        <w:tc>
          <w:tcPr>
            <w:tcW w:w="161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2.1275</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0.1961</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1.6094</w:t>
            </w:r>
          </w:p>
        </w:tc>
        <w:tc>
          <w:tcPr>
            <w:tcW w:w="1152"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2.7081</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72"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z w:val="20"/>
                <w:szCs w:val="20"/>
              </w:rPr>
            </w:pPr>
            <w:r>
              <w:rPr>
                <w:rFonts w:hint="eastAsia" w:cs="Times New Roman"/>
                <w:i/>
                <w:sz w:val="20"/>
                <w:szCs w:val="20"/>
                <w:lang w:val="en-US" w:eastAsia="zh-CN"/>
              </w:rPr>
              <w:t>Top1</w:t>
            </w:r>
          </w:p>
        </w:tc>
        <w:tc>
          <w:tcPr>
            <w:tcW w:w="1617"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21853</w:t>
            </w:r>
          </w:p>
        </w:tc>
        <w:tc>
          <w:tcPr>
            <w:tcW w:w="1152"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33.6938</w:t>
            </w:r>
          </w:p>
        </w:tc>
        <w:tc>
          <w:tcPr>
            <w:tcW w:w="1152"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14.3723</w:t>
            </w:r>
          </w:p>
        </w:tc>
        <w:tc>
          <w:tcPr>
            <w:tcW w:w="1152"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8.6000</w:t>
            </w:r>
          </w:p>
        </w:tc>
        <w:tc>
          <w:tcPr>
            <w:tcW w:w="1152"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72.1000</w:t>
            </w:r>
          </w:p>
        </w:tc>
      </w:tr>
    </w:tbl>
    <w:p>
      <w:pPr>
        <w:keepNext w:val="0"/>
        <w:keepLines w:val="0"/>
        <w:pageBreakBefore w:val="0"/>
        <w:kinsoku/>
        <w:wordWrap/>
        <w:overflowPunct/>
        <w:topLinePunct w:val="0"/>
        <w:autoSpaceDE w:val="0"/>
        <w:autoSpaceDN w:val="0"/>
        <w:bidi w:val="0"/>
        <w:snapToGrid/>
        <w:spacing w:line="360" w:lineRule="auto"/>
        <w:jc w:val="left"/>
        <w:textAlignment w:val="auto"/>
        <w:rPr>
          <w:rFonts w:ascii="Times New Roman" w:hAnsi="Times New Roman" w:eastAsia="宋体"/>
          <w:sz w:val="21"/>
          <w:szCs w:val="21"/>
        </w:rPr>
      </w:pP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lang w:val="en-US"/>
        </w:rPr>
      </w:pPr>
      <w:bookmarkStart w:id="9" w:name="_Toc17852"/>
      <w:r>
        <w:rPr>
          <w:rFonts w:hint="eastAsia" w:ascii="Times New Roman" w:hAnsi="Times New Roman"/>
          <w:sz w:val="24"/>
          <w:szCs w:val="24"/>
        </w:rPr>
        <w:t>（</w:t>
      </w:r>
      <w:r>
        <w:rPr>
          <w:rFonts w:hint="eastAsia"/>
          <w:sz w:val="24"/>
          <w:szCs w:val="24"/>
          <w:lang w:val="en-US" w:eastAsia="zh-CN"/>
        </w:rPr>
        <w:t>二</w:t>
      </w:r>
      <w:r>
        <w:rPr>
          <w:rFonts w:hint="eastAsia" w:ascii="Times New Roman" w:hAnsi="Times New Roman"/>
          <w:sz w:val="24"/>
          <w:szCs w:val="24"/>
        </w:rPr>
        <w:t>）</w:t>
      </w:r>
      <w:r>
        <w:rPr>
          <w:rFonts w:hint="eastAsia" w:ascii="Times New Roman" w:hAnsi="Times New Roman" w:eastAsia="宋体" w:cs="宋体"/>
          <w:sz w:val="24"/>
          <w:szCs w:val="24"/>
          <w:lang w:val="en-US" w:eastAsia="zh-CN"/>
        </w:rPr>
        <w:t>基准回归分析</w:t>
      </w:r>
      <w:bookmarkEnd w:id="9"/>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基准回归</w:t>
      </w:r>
      <w:r>
        <w:rPr>
          <w:rFonts w:hint="eastAsia" w:ascii="Times New Roman" w:hAnsi="Times New Roman" w:eastAsia="宋体"/>
          <w:sz w:val="21"/>
          <w:szCs w:val="21"/>
        </w:rPr>
        <w:t>采用了</w:t>
      </w:r>
      <w:r>
        <w:rPr>
          <w:rFonts w:hint="eastAsia" w:ascii="Times New Roman" w:hAnsi="Times New Roman" w:eastAsia="宋体"/>
          <w:sz w:val="21"/>
          <w:szCs w:val="21"/>
          <w:lang w:val="en-US" w:eastAsia="zh-CN"/>
        </w:rPr>
        <w:t>公</w:t>
      </w:r>
      <w:r>
        <w:rPr>
          <w:rFonts w:hint="eastAsia" w:ascii="Times New Roman" w:hAnsi="Times New Roman" w:eastAsia="宋体"/>
          <w:sz w:val="21"/>
          <w:szCs w:val="21"/>
        </w:rPr>
        <w:t>式（1）的模型检验绿色信贷政策对企业绿色技术创新的影响，检验结果如表</w:t>
      </w:r>
      <w:r>
        <w:rPr>
          <w:rFonts w:hint="eastAsia"/>
          <w:sz w:val="21"/>
          <w:szCs w:val="21"/>
          <w:lang w:val="en-US" w:eastAsia="zh-CN"/>
        </w:rPr>
        <w:t>3</w:t>
      </w:r>
      <w:r>
        <w:rPr>
          <w:rFonts w:hint="eastAsia" w:ascii="Times New Roman" w:hAnsi="Times New Roman" w:eastAsia="宋体"/>
          <w:sz w:val="21"/>
          <w:szCs w:val="21"/>
        </w:rPr>
        <w:t>所示</w:t>
      </w:r>
      <w:r>
        <w:rPr>
          <w:rFonts w:hint="eastAsia" w:ascii="Times New Roman" w:hAnsi="Times New Roman" w:eastAsia="宋体"/>
          <w:sz w:val="21"/>
          <w:szCs w:val="21"/>
          <w:lang w:eastAsia="zh-CN"/>
        </w:rPr>
        <w:t>。</w:t>
      </w:r>
      <w:r>
        <w:rPr>
          <w:rFonts w:hint="eastAsia" w:ascii="Times New Roman" w:hAnsi="Times New Roman" w:eastAsia="宋体"/>
          <w:sz w:val="21"/>
          <w:szCs w:val="21"/>
        </w:rPr>
        <w:t>第（1）列只加入了</w:t>
      </w:r>
      <w:r>
        <w:rPr>
          <w:rFonts w:hint="eastAsia"/>
          <w:i/>
          <w:sz w:val="21"/>
          <w:szCs w:val="21"/>
          <w:lang w:eastAsia="zh-CN"/>
        </w:rPr>
        <w:t>Treat×Post</w:t>
      </w:r>
      <w:r>
        <w:rPr>
          <w:rFonts w:hint="eastAsia" w:ascii="Times New Roman" w:hAnsi="Times New Roman" w:eastAsia="宋体"/>
          <w:sz w:val="21"/>
          <w:szCs w:val="21"/>
        </w:rPr>
        <w:t>项，其系数</w:t>
      </w:r>
      <w:r>
        <w:rPr>
          <w:rFonts w:hint="eastAsia" w:ascii="Times New Roman" w:hAnsi="Times New Roman" w:eastAsia="宋体"/>
          <w:sz w:val="21"/>
          <w:szCs w:val="21"/>
          <w:lang w:val="en-US" w:eastAsia="zh-CN"/>
        </w:rPr>
        <w:t>在1%的水平</w:t>
      </w:r>
      <w:r>
        <w:rPr>
          <w:rFonts w:hint="eastAsia" w:ascii="Times New Roman" w:hAnsi="Times New Roman" w:eastAsia="宋体"/>
          <w:sz w:val="21"/>
          <w:szCs w:val="21"/>
        </w:rPr>
        <w:t>显著为正，</w:t>
      </w:r>
      <w:r>
        <w:rPr>
          <w:rFonts w:hint="eastAsia" w:ascii="Times New Roman" w:hAnsi="Times New Roman" w:eastAsia="宋体"/>
          <w:sz w:val="21"/>
          <w:szCs w:val="21"/>
          <w:lang w:val="en-US" w:eastAsia="zh-CN"/>
        </w:rPr>
        <w:t>数值为0.12，</w:t>
      </w:r>
      <w:r>
        <w:rPr>
          <w:rFonts w:hint="eastAsia" w:ascii="Times New Roman" w:hAnsi="Times New Roman" w:eastAsia="宋体"/>
          <w:sz w:val="21"/>
          <w:szCs w:val="21"/>
        </w:rPr>
        <w:t>说明绿色信贷</w:t>
      </w:r>
      <w:r>
        <w:rPr>
          <w:rFonts w:hint="eastAsia" w:ascii="Times New Roman" w:hAnsi="Times New Roman" w:eastAsia="宋体"/>
          <w:sz w:val="21"/>
          <w:szCs w:val="21"/>
          <w:lang w:val="en-US" w:eastAsia="zh-CN"/>
        </w:rPr>
        <w:t>政策</w:t>
      </w:r>
      <w:r>
        <w:rPr>
          <w:rFonts w:hint="eastAsia" w:ascii="Times New Roman" w:hAnsi="Times New Roman" w:eastAsia="宋体"/>
          <w:sz w:val="21"/>
          <w:szCs w:val="21"/>
        </w:rPr>
        <w:t>促进了企业</w:t>
      </w:r>
      <w:r>
        <w:rPr>
          <w:rFonts w:hint="eastAsia" w:ascii="Times New Roman" w:hAnsi="Times New Roman" w:eastAsia="宋体"/>
          <w:sz w:val="21"/>
          <w:szCs w:val="21"/>
          <w:lang w:val="en-US" w:eastAsia="zh-CN"/>
        </w:rPr>
        <w:t>的</w:t>
      </w:r>
      <w:r>
        <w:rPr>
          <w:rFonts w:hint="eastAsia" w:ascii="Times New Roman" w:hAnsi="Times New Roman" w:eastAsia="宋体"/>
          <w:sz w:val="21"/>
          <w:szCs w:val="21"/>
        </w:rPr>
        <w:t>绿色技术创新</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且使得实验组高污染企业的绿色技术创新水平提高了12.23%。</w:t>
      </w:r>
      <w:r>
        <w:rPr>
          <w:rFonts w:hint="eastAsia" w:ascii="Times New Roman" w:hAnsi="Times New Roman" w:eastAsia="宋体"/>
          <w:sz w:val="21"/>
          <w:szCs w:val="21"/>
        </w:rPr>
        <w:t>列（2）、（3）、（4）在第（1）列的基础上逐步加入控制变量，</w:t>
      </w:r>
      <w:r>
        <w:rPr>
          <w:rFonts w:hint="eastAsia" w:ascii="Times New Roman" w:hAnsi="Times New Roman" w:eastAsia="宋体"/>
          <w:sz w:val="21"/>
          <w:szCs w:val="21"/>
          <w:lang w:val="en-US" w:eastAsia="zh-CN"/>
        </w:rPr>
        <w:t>其</w:t>
      </w:r>
      <w:r>
        <w:rPr>
          <w:rFonts w:hint="eastAsia" w:ascii="Times New Roman" w:hAnsi="Times New Roman" w:eastAsia="宋体"/>
          <w:sz w:val="21"/>
          <w:szCs w:val="21"/>
        </w:rPr>
        <w:t>回归结果依旧显著，说明这一结果具有一定的稳健性。</w:t>
      </w:r>
      <w:r>
        <w:rPr>
          <w:rFonts w:hint="eastAsia" w:ascii="Times New Roman" w:hAnsi="Times New Roman" w:eastAsia="宋体"/>
          <w:sz w:val="21"/>
          <w:szCs w:val="21"/>
          <w:lang w:val="en-US" w:eastAsia="zh-CN"/>
        </w:rPr>
        <w:t>结合前文相关理论和假说，可以得知，绿色信贷政策的实施确实激励了企业进行绿色技术创新，且发挥了倒逼重污染企业实施转型升级、提高绿色技术水平的作用，其对于重污染企业绿色技术创新的激励作用更强，假设H1和H2可以得到证实。</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下面对其余控制变量进行分析。</w:t>
      </w:r>
      <w:r>
        <w:rPr>
          <w:rFonts w:hint="eastAsia" w:ascii="Times New Roman" w:hAnsi="Times New Roman" w:eastAsia="宋体"/>
          <w:sz w:val="21"/>
          <w:szCs w:val="21"/>
        </w:rPr>
        <w:t>杠杆水平（</w:t>
      </w:r>
      <w:r>
        <w:rPr>
          <w:rFonts w:hint="eastAsia"/>
          <w:i/>
          <w:sz w:val="21"/>
          <w:szCs w:val="21"/>
          <w:lang w:eastAsia="zh-CN"/>
        </w:rPr>
        <w:t>Lev</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三次回归的系数均为负，说明高杠杆的存在抑制了企业的绿色技术创新，这是因为创新需要大量的资金投入，企业背负过高的债务便难有余力进行技术创新。</w:t>
      </w:r>
      <w:r>
        <w:rPr>
          <w:rFonts w:hint="eastAsia" w:ascii="Times New Roman" w:hAnsi="Times New Roman" w:eastAsia="宋体"/>
          <w:sz w:val="21"/>
          <w:szCs w:val="21"/>
        </w:rPr>
        <w:t>企业规模（</w:t>
      </w:r>
      <w:r>
        <w:rPr>
          <w:rFonts w:hint="eastAsia"/>
          <w:i/>
          <w:sz w:val="21"/>
          <w:szCs w:val="21"/>
          <w:lang w:eastAsia="zh-CN"/>
        </w:rPr>
        <w:t>Size</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和</w:t>
      </w:r>
      <w:r>
        <w:rPr>
          <w:rFonts w:hint="eastAsia" w:ascii="Times New Roman" w:hAnsi="Times New Roman" w:eastAsia="宋体"/>
          <w:sz w:val="21"/>
          <w:szCs w:val="21"/>
        </w:rPr>
        <w:t>总资产收益率（</w:t>
      </w:r>
      <w:r>
        <w:rPr>
          <w:rFonts w:hint="eastAsia"/>
          <w:i/>
          <w:sz w:val="21"/>
          <w:szCs w:val="21"/>
          <w:lang w:eastAsia="zh-CN"/>
        </w:rPr>
        <w:t>ROA</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的回归系数为正，说明规模越大、盈利能力越强的企业创新水平越高，这一结果符合预期，因为这类企业拥有更雄厚的财力对技术研发进行支持。</w:t>
      </w:r>
      <w:r>
        <w:rPr>
          <w:rFonts w:hint="eastAsia" w:ascii="Times New Roman" w:hAnsi="Times New Roman" w:eastAsia="宋体"/>
          <w:sz w:val="21"/>
          <w:szCs w:val="21"/>
        </w:rPr>
        <w:t>企业</w:t>
      </w:r>
      <w:r>
        <w:rPr>
          <w:rFonts w:hint="eastAsia" w:ascii="Times New Roman" w:hAnsi="Times New Roman" w:eastAsia="宋体"/>
          <w:sz w:val="21"/>
          <w:szCs w:val="21"/>
          <w:lang w:val="en-US" w:eastAsia="zh-CN"/>
        </w:rPr>
        <w:t>上市</w:t>
      </w:r>
      <w:r>
        <w:rPr>
          <w:rFonts w:hint="eastAsia" w:ascii="Times New Roman" w:hAnsi="Times New Roman" w:eastAsia="宋体"/>
          <w:sz w:val="21"/>
          <w:szCs w:val="21"/>
        </w:rPr>
        <w:t>年龄（</w:t>
      </w:r>
      <w:r>
        <w:rPr>
          <w:rFonts w:hint="eastAsia"/>
          <w:i/>
          <w:sz w:val="21"/>
          <w:szCs w:val="21"/>
          <w:lang w:eastAsia="zh-CN"/>
        </w:rPr>
        <w:t>Age</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和</w:t>
      </w:r>
      <w:r>
        <w:rPr>
          <w:rFonts w:hint="eastAsia" w:ascii="Times New Roman" w:hAnsi="Times New Roman" w:eastAsia="宋体"/>
          <w:sz w:val="21"/>
          <w:szCs w:val="21"/>
        </w:rPr>
        <w:t>企业成长性（</w:t>
      </w:r>
      <w:r>
        <w:rPr>
          <w:rFonts w:hint="eastAsia"/>
          <w:i/>
          <w:sz w:val="21"/>
          <w:szCs w:val="21"/>
          <w:lang w:eastAsia="zh-CN"/>
        </w:rPr>
        <w:t>Growth</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的回归系数为负，可能是由于企业上市时间越长，发展速度越快，其在市场中的地位就会越稳固，因而对绿色技术创新的重视程度就会降低。</w:t>
      </w:r>
      <w:r>
        <w:rPr>
          <w:rFonts w:hint="eastAsia" w:ascii="Times New Roman" w:hAnsi="Times New Roman" w:eastAsia="宋体"/>
          <w:sz w:val="21"/>
          <w:szCs w:val="21"/>
        </w:rPr>
        <w:t>董事会规模（</w:t>
      </w:r>
      <w:r>
        <w:rPr>
          <w:rFonts w:hint="eastAsia"/>
          <w:i/>
          <w:sz w:val="21"/>
          <w:szCs w:val="21"/>
          <w:lang w:eastAsia="zh-CN"/>
        </w:rPr>
        <w:t>Board</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与</w:t>
      </w:r>
      <w:r>
        <w:rPr>
          <w:rFonts w:hint="eastAsia" w:ascii="Times New Roman" w:hAnsi="Times New Roman" w:eastAsia="宋体"/>
          <w:sz w:val="21"/>
          <w:szCs w:val="21"/>
        </w:rPr>
        <w:t>股权集中度（</w:t>
      </w:r>
      <w:r>
        <w:rPr>
          <w:rFonts w:hint="eastAsia"/>
          <w:i/>
          <w:sz w:val="21"/>
          <w:szCs w:val="21"/>
          <w:lang w:eastAsia="zh-CN"/>
        </w:rPr>
        <w:t>Top1</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的回归系数相反。</w:t>
      </w:r>
      <w:r>
        <w:rPr>
          <w:rFonts w:hint="eastAsia" w:ascii="Times New Roman" w:hAnsi="Times New Roman" w:eastAsia="宋体"/>
          <w:sz w:val="21"/>
          <w:szCs w:val="21"/>
        </w:rPr>
        <w:t>董事会规模（</w:t>
      </w:r>
      <w:r>
        <w:rPr>
          <w:rFonts w:hint="eastAsia"/>
          <w:i/>
          <w:sz w:val="21"/>
          <w:szCs w:val="21"/>
          <w:lang w:eastAsia="zh-CN"/>
        </w:rPr>
        <w:t>Board</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的系数为正，可能是因为董事会的人员规模越大，企业就越需要考虑长远的发展前景，因而主动进行绿色技术方面的创新；</w:t>
      </w:r>
      <w:r>
        <w:rPr>
          <w:rFonts w:hint="eastAsia" w:ascii="Times New Roman" w:hAnsi="Times New Roman" w:eastAsia="宋体"/>
          <w:sz w:val="21"/>
          <w:szCs w:val="21"/>
        </w:rPr>
        <w:t>股权集中度（</w:t>
      </w:r>
      <w:r>
        <w:rPr>
          <w:rFonts w:hint="eastAsia"/>
          <w:i/>
          <w:sz w:val="21"/>
          <w:szCs w:val="21"/>
          <w:lang w:eastAsia="zh-CN"/>
        </w:rPr>
        <w:t>Top1</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的系数为负，表明企业的受益人越集中，企业就越容易追求短期利益而忽视长远发展，致使其相对忽视了绿色技术创新。</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表3 基准回归结果</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7"/>
        <w:gridCol w:w="1440"/>
        <w:gridCol w:w="1584"/>
        <w:gridCol w:w="1584"/>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w:t>
            </w:r>
          </w:p>
        </w:tc>
        <w:tc>
          <w:tcPr>
            <w:tcW w:w="1584"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w:t>
            </w:r>
          </w:p>
        </w:tc>
        <w:tc>
          <w:tcPr>
            <w:tcW w:w="1584"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w:t>
            </w:r>
          </w:p>
        </w:tc>
        <w:tc>
          <w:tcPr>
            <w:tcW w:w="1584"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VARIABLES</w:t>
            </w:r>
          </w:p>
        </w:tc>
        <w:tc>
          <w:tcPr>
            <w:tcW w:w="1440"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Patent</w:t>
            </w:r>
          </w:p>
        </w:tc>
        <w:tc>
          <w:tcPr>
            <w:tcW w:w="1584"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Patent</w:t>
            </w:r>
          </w:p>
        </w:tc>
        <w:tc>
          <w:tcPr>
            <w:tcW w:w="1584"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Patent</w:t>
            </w:r>
          </w:p>
        </w:tc>
        <w:tc>
          <w:tcPr>
            <w:tcW w:w="1584"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Patent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eastAsia="zh-CN"/>
              </w:rPr>
            </w:pPr>
            <w:r>
              <w:rPr>
                <w:rFonts w:hint="eastAsia"/>
                <w:i/>
                <w:sz w:val="20"/>
                <w:szCs w:val="20"/>
                <w:lang w:val="en-US" w:eastAsia="zh-CN"/>
              </w:rPr>
              <w:t>Treat×Post</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0.1223***</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0.1219***</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0.1221***</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(2.5971)</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(2.5923)</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(2.5946)</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Lev</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-0.0586</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-0.0380</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(-1.4642)</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(-0.8786)</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Size</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0.0811***</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0.0790***</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(7.6258)</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(7.2673)</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(7.3235)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Age</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-0.0264</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(-0.5134)</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(-0.7115)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lang w:val="en-US" w:eastAsia="zh-CN"/>
              </w:rPr>
            </w:pPr>
            <w:r>
              <w:rPr>
                <w:rFonts w:hint="eastAsia"/>
                <w:i/>
                <w:sz w:val="20"/>
                <w:szCs w:val="20"/>
                <w:lang w:val="en-US" w:eastAsia="zh-CN"/>
              </w:rPr>
              <w:t>ROA</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0.0840</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(1.1306)</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(2.2466)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Growth</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(-3.7452)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Board</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(1.8674)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Top1</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(-1.4135)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Constant</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0.3540**</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-1.3553***</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-1.2724***</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-1.3955***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(2.3671)</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(-5.0430)</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(-4.4431)</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(-4.6966)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i/>
                <w:sz w:val="20"/>
                <w:szCs w:val="20"/>
                <w:lang w:val="en-US" w:eastAsia="zh-CN"/>
              </w:rPr>
              <w:t>Ind</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i/>
                <w:sz w:val="20"/>
                <w:szCs w:val="20"/>
                <w:lang w:val="en-US" w:eastAsia="zh-CN"/>
              </w:rPr>
              <w:t>Firm</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i/>
                <w:sz w:val="20"/>
                <w:szCs w:val="20"/>
                <w:lang w:val="en-US" w:eastAsia="zh-CN"/>
              </w:rPr>
              <w:t>Year</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Observations</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21,853</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21,853</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21,853</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R-squared</w:t>
            </w:r>
          </w:p>
        </w:tc>
        <w:tc>
          <w:tcPr>
            <w:tcW w:w="1440"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0.0378</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0.0408</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0.0409</w:t>
            </w:r>
          </w:p>
        </w:tc>
        <w:tc>
          <w:tcPr>
            <w:tcW w:w="158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0.0419</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Number of id</w:t>
            </w:r>
          </w:p>
        </w:tc>
        <w:tc>
          <w:tcPr>
            <w:tcW w:w="1440"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2,986</w:t>
            </w:r>
          </w:p>
        </w:tc>
        <w:tc>
          <w:tcPr>
            <w:tcW w:w="1584"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2,986</w:t>
            </w:r>
          </w:p>
        </w:tc>
        <w:tc>
          <w:tcPr>
            <w:tcW w:w="1584"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2,986</w:t>
            </w:r>
          </w:p>
        </w:tc>
        <w:tc>
          <w:tcPr>
            <w:tcW w:w="1584"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2,986</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Times New Roman" w:hAnsi="Times New Roman" w:eastAsia="宋体"/>
          <w:sz w:val="21"/>
          <w:szCs w:val="21"/>
          <w:lang w:val="en-US"/>
        </w:rPr>
      </w:pPr>
      <w:r>
        <w:rPr>
          <w:rFonts w:hint="eastAsia" w:ascii="Times New Roman" w:hAnsi="Times New Roman" w:eastAsia="宋体"/>
          <w:b w:val="0"/>
          <w:bCs w:val="0"/>
          <w:sz w:val="21"/>
          <w:szCs w:val="21"/>
          <w:lang w:val="en-US" w:eastAsia="zh-CN"/>
        </w:rPr>
        <w:t>说明</w:t>
      </w:r>
      <w:r>
        <w:rPr>
          <w:rFonts w:hint="eastAsia" w:ascii="Times New Roman" w:hAnsi="Times New Roman" w:eastAsia="宋体"/>
          <w:b/>
          <w:bCs/>
          <w:sz w:val="21"/>
          <w:szCs w:val="21"/>
          <w:lang w:val="en-US" w:eastAsia="zh-CN"/>
        </w:rPr>
        <w:t>：</w:t>
      </w:r>
      <w:r>
        <w:rPr>
          <w:rFonts w:hint="eastAsia" w:ascii="Times New Roman" w:hAnsi="Times New Roman" w:eastAsia="宋体"/>
          <w:sz w:val="21"/>
          <w:szCs w:val="21"/>
          <w:lang w:val="en-US" w:eastAsia="zh-CN"/>
        </w:rPr>
        <w:t>*、**、***分别表示结果在10%、5%、1%的水平下显著，括号内为t检验值。</w:t>
      </w:r>
      <w:r>
        <w:rPr>
          <w:rFonts w:hint="eastAsia"/>
          <w:sz w:val="21"/>
          <w:szCs w:val="21"/>
          <w:lang w:val="en-US" w:eastAsia="zh-CN"/>
        </w:rPr>
        <w:t>下同。</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rPr>
      </w:pP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lang w:val="en-US"/>
        </w:rPr>
      </w:pPr>
      <w:bookmarkStart w:id="10" w:name="_Toc27607"/>
      <w:r>
        <w:rPr>
          <w:rFonts w:hint="eastAsia" w:ascii="Times New Roman" w:hAnsi="Times New Roman"/>
          <w:sz w:val="24"/>
          <w:szCs w:val="24"/>
        </w:rPr>
        <w:t>（</w:t>
      </w:r>
      <w:r>
        <w:rPr>
          <w:rFonts w:hint="eastAsia"/>
          <w:sz w:val="24"/>
          <w:szCs w:val="24"/>
          <w:lang w:val="en-US" w:eastAsia="zh-CN"/>
        </w:rPr>
        <w:t>三</w:t>
      </w:r>
      <w:r>
        <w:rPr>
          <w:rFonts w:hint="eastAsia" w:ascii="Times New Roman" w:hAnsi="Times New Roman"/>
          <w:sz w:val="24"/>
          <w:szCs w:val="24"/>
        </w:rPr>
        <w:t>）</w:t>
      </w:r>
      <w:r>
        <w:rPr>
          <w:rFonts w:hint="eastAsia" w:ascii="Times New Roman" w:hAnsi="Times New Roman" w:eastAsia="宋体" w:cs="宋体"/>
          <w:sz w:val="24"/>
          <w:szCs w:val="24"/>
          <w:lang w:val="en-US" w:eastAsia="zh-CN"/>
        </w:rPr>
        <w:t>平行趋势检验</w:t>
      </w:r>
      <w:bookmarkEnd w:id="10"/>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rPr>
        <w:t>本文运用DID模型进行研究，研究的前提假设是</w:t>
      </w:r>
      <w:r>
        <w:rPr>
          <w:rFonts w:hint="eastAsia" w:ascii="Times New Roman" w:hAnsi="Times New Roman" w:eastAsia="宋体"/>
          <w:sz w:val="21"/>
          <w:szCs w:val="21"/>
          <w:lang w:val="en-US" w:eastAsia="zh-CN"/>
        </w:rPr>
        <w:t>实验</w:t>
      </w:r>
      <w:r>
        <w:rPr>
          <w:rFonts w:hint="eastAsia" w:ascii="Times New Roman" w:hAnsi="Times New Roman" w:eastAsia="宋体"/>
          <w:sz w:val="21"/>
          <w:szCs w:val="21"/>
        </w:rPr>
        <w:t>组和</w:t>
      </w:r>
      <w:r>
        <w:rPr>
          <w:rFonts w:hint="eastAsia" w:ascii="Times New Roman" w:hAnsi="Times New Roman" w:eastAsia="宋体"/>
          <w:sz w:val="21"/>
          <w:szCs w:val="21"/>
          <w:lang w:val="en-US" w:eastAsia="zh-CN"/>
        </w:rPr>
        <w:t>对照</w:t>
      </w:r>
      <w:r>
        <w:rPr>
          <w:rFonts w:hint="eastAsia" w:ascii="Times New Roman" w:hAnsi="Times New Roman" w:eastAsia="宋体"/>
          <w:sz w:val="21"/>
          <w:szCs w:val="21"/>
        </w:rPr>
        <w:t>组在政策实施之前具有</w:t>
      </w:r>
      <w:r>
        <w:rPr>
          <w:rFonts w:hint="eastAsia"/>
          <w:sz w:val="21"/>
          <w:szCs w:val="21"/>
          <w:lang w:val="en-US" w:eastAsia="zh-CN"/>
        </w:rPr>
        <w:t>相同</w:t>
      </w:r>
      <w:r>
        <w:rPr>
          <w:rFonts w:hint="eastAsia" w:ascii="Times New Roman" w:hAnsi="Times New Roman" w:eastAsia="宋体"/>
          <w:sz w:val="21"/>
          <w:szCs w:val="21"/>
        </w:rPr>
        <w:t>趋势，即在</w:t>
      </w:r>
      <w:r>
        <w:rPr>
          <w:rFonts w:hint="eastAsia" w:ascii="Times New Roman" w:hAnsi="Times New Roman" w:eastAsia="宋体"/>
          <w:sz w:val="21"/>
          <w:szCs w:val="21"/>
          <w:lang w:val="en-US" w:eastAsia="zh-CN"/>
        </w:rPr>
        <w:t>绿色信贷</w:t>
      </w:r>
      <w:r>
        <w:rPr>
          <w:rFonts w:hint="eastAsia" w:ascii="Times New Roman" w:hAnsi="Times New Roman" w:eastAsia="宋体"/>
          <w:sz w:val="21"/>
          <w:szCs w:val="21"/>
        </w:rPr>
        <w:t>政策实施之前实验组与</w:t>
      </w:r>
      <w:r>
        <w:rPr>
          <w:rFonts w:hint="eastAsia" w:ascii="Times New Roman" w:hAnsi="Times New Roman" w:eastAsia="宋体"/>
          <w:sz w:val="21"/>
          <w:szCs w:val="21"/>
          <w:lang w:val="en-US" w:eastAsia="zh-CN"/>
        </w:rPr>
        <w:t>对照</w:t>
      </w:r>
      <w:r>
        <w:rPr>
          <w:rFonts w:hint="eastAsia" w:ascii="Times New Roman" w:hAnsi="Times New Roman" w:eastAsia="宋体"/>
          <w:sz w:val="21"/>
          <w:szCs w:val="21"/>
        </w:rPr>
        <w:t>组的绿色技术创新无显著差异，而在政策实施之后产生差异。</w:t>
      </w:r>
      <w:r>
        <w:rPr>
          <w:rFonts w:hint="eastAsia" w:ascii="Times New Roman" w:hAnsi="Times New Roman" w:eastAsia="宋体"/>
          <w:sz w:val="21"/>
          <w:szCs w:val="21"/>
          <w:lang w:val="en-US" w:eastAsia="zh-CN"/>
        </w:rPr>
        <w:t>因此，在模型中设定</w:t>
      </w:r>
      <w:r>
        <w:rPr>
          <w:rFonts w:hint="eastAsia"/>
          <w:i/>
          <w:sz w:val="21"/>
          <w:szCs w:val="21"/>
          <w:lang w:eastAsia="zh-CN"/>
        </w:rPr>
        <w:t>per_2</w:t>
      </w:r>
      <w:r>
        <w:rPr>
          <w:rFonts w:hint="eastAsia" w:ascii="Times New Roman" w:hAnsi="Times New Roman" w:eastAsia="宋体"/>
          <w:sz w:val="21"/>
          <w:szCs w:val="21"/>
        </w:rPr>
        <w:t>、</w:t>
      </w:r>
      <w:r>
        <w:rPr>
          <w:rFonts w:hint="eastAsia"/>
          <w:i/>
          <w:sz w:val="21"/>
          <w:szCs w:val="21"/>
          <w:lang w:eastAsia="zh-CN"/>
        </w:rPr>
        <w:t>per_1</w:t>
      </w:r>
      <w:r>
        <w:rPr>
          <w:rFonts w:hint="eastAsia" w:ascii="Times New Roman" w:hAnsi="Times New Roman" w:eastAsia="宋体"/>
          <w:sz w:val="21"/>
          <w:szCs w:val="21"/>
        </w:rPr>
        <w:t>、</w:t>
      </w:r>
      <w:r>
        <w:rPr>
          <w:rFonts w:hint="eastAsia"/>
          <w:i/>
          <w:sz w:val="21"/>
          <w:szCs w:val="21"/>
          <w:lang w:eastAsia="zh-CN"/>
        </w:rPr>
        <w:t>current</w:t>
      </w:r>
      <w:r>
        <w:rPr>
          <w:rFonts w:hint="eastAsia" w:ascii="Times New Roman" w:hAnsi="Times New Roman" w:eastAsia="宋体"/>
          <w:sz w:val="21"/>
          <w:szCs w:val="21"/>
        </w:rPr>
        <w:t xml:space="preserve"> 、</w:t>
      </w:r>
      <w:r>
        <w:rPr>
          <w:rFonts w:hint="eastAsia"/>
          <w:i/>
          <w:sz w:val="21"/>
          <w:szCs w:val="21"/>
          <w:lang w:eastAsia="zh-CN"/>
        </w:rPr>
        <w:t>Post_1</w:t>
      </w:r>
      <w:r>
        <w:rPr>
          <w:rFonts w:hint="eastAsia" w:ascii="Times New Roman" w:hAnsi="Times New Roman" w:eastAsia="宋体"/>
          <w:sz w:val="21"/>
          <w:szCs w:val="21"/>
        </w:rPr>
        <w:t>、</w:t>
      </w:r>
      <w:r>
        <w:rPr>
          <w:rFonts w:hint="eastAsia"/>
          <w:i/>
          <w:sz w:val="21"/>
          <w:szCs w:val="21"/>
          <w:lang w:eastAsia="zh-CN"/>
        </w:rPr>
        <w:t>Post_2</w:t>
      </w:r>
      <w:r>
        <w:rPr>
          <w:rFonts w:hint="eastAsia" w:ascii="Times New Roman" w:hAnsi="Times New Roman" w:eastAsia="宋体"/>
          <w:sz w:val="21"/>
          <w:szCs w:val="21"/>
        </w:rPr>
        <w:t>、</w:t>
      </w:r>
      <w:r>
        <w:rPr>
          <w:rFonts w:hint="eastAsia"/>
          <w:i/>
          <w:sz w:val="21"/>
          <w:szCs w:val="21"/>
          <w:lang w:eastAsia="zh-CN"/>
        </w:rPr>
        <w:t>Post_3</w:t>
      </w:r>
      <w:r>
        <w:rPr>
          <w:rFonts w:hint="eastAsia" w:ascii="Times New Roman" w:hAnsi="Times New Roman" w:eastAsia="宋体"/>
          <w:sz w:val="21"/>
          <w:szCs w:val="21"/>
        </w:rPr>
        <w:t>、</w:t>
      </w:r>
      <w:r>
        <w:rPr>
          <w:rFonts w:hint="eastAsia"/>
          <w:i/>
          <w:sz w:val="21"/>
          <w:szCs w:val="21"/>
          <w:lang w:eastAsia="zh-CN"/>
        </w:rPr>
        <w:t>Post_4</w:t>
      </w:r>
      <w:r>
        <w:rPr>
          <w:rFonts w:hint="eastAsia" w:ascii="Times New Roman" w:hAnsi="Times New Roman" w:eastAsia="宋体"/>
          <w:sz w:val="21"/>
          <w:szCs w:val="21"/>
        </w:rPr>
        <w:t>、</w:t>
      </w:r>
      <w:r>
        <w:rPr>
          <w:rFonts w:hint="eastAsia"/>
          <w:i/>
          <w:sz w:val="21"/>
          <w:szCs w:val="21"/>
          <w:lang w:eastAsia="zh-CN"/>
        </w:rPr>
        <w:t>Post_5</w:t>
      </w:r>
      <w:r>
        <w:rPr>
          <w:rFonts w:hint="eastAsia" w:ascii="Times New Roman" w:hAnsi="Times New Roman" w:eastAsia="宋体"/>
          <w:sz w:val="21"/>
          <w:szCs w:val="21"/>
        </w:rPr>
        <w:t>、</w:t>
      </w:r>
      <w:r>
        <w:rPr>
          <w:rFonts w:hint="eastAsia"/>
          <w:i/>
          <w:sz w:val="21"/>
          <w:szCs w:val="21"/>
          <w:lang w:eastAsia="zh-CN"/>
        </w:rPr>
        <w:t>Post_6</w:t>
      </w:r>
      <w:r>
        <w:rPr>
          <w:rFonts w:hint="eastAsia" w:ascii="Times New Roman" w:hAnsi="Times New Roman" w:eastAsia="宋体"/>
          <w:sz w:val="21"/>
          <w:szCs w:val="21"/>
        </w:rPr>
        <w:t>、</w:t>
      </w:r>
      <w:r>
        <w:rPr>
          <w:rFonts w:hint="eastAsia"/>
          <w:i/>
          <w:sz w:val="21"/>
          <w:szCs w:val="21"/>
          <w:lang w:eastAsia="zh-CN"/>
        </w:rPr>
        <w:t>Post_7</w:t>
      </w:r>
      <w:r>
        <w:rPr>
          <w:rFonts w:hint="eastAsia" w:ascii="Times New Roman" w:hAnsi="Times New Roman" w:eastAsia="宋体"/>
          <w:sz w:val="21"/>
          <w:szCs w:val="21"/>
        </w:rPr>
        <w:t>、</w:t>
      </w:r>
      <w:r>
        <w:rPr>
          <w:rFonts w:hint="eastAsia"/>
          <w:i/>
          <w:sz w:val="21"/>
          <w:szCs w:val="21"/>
          <w:lang w:eastAsia="zh-CN"/>
        </w:rPr>
        <w:t>Post_8</w:t>
      </w:r>
      <w:r>
        <w:rPr>
          <w:rFonts w:hint="eastAsia" w:ascii="Times New Roman" w:hAnsi="Times New Roman" w:eastAsia="宋体"/>
          <w:sz w:val="21"/>
          <w:szCs w:val="21"/>
          <w:lang w:val="en-US" w:eastAsia="zh-CN"/>
        </w:rPr>
        <w:t>来</w:t>
      </w:r>
      <w:r>
        <w:rPr>
          <w:rFonts w:hint="eastAsia" w:ascii="Times New Roman" w:hAnsi="Times New Roman" w:eastAsia="宋体"/>
          <w:sz w:val="21"/>
          <w:szCs w:val="21"/>
        </w:rPr>
        <w:t>分别表示绿色信贷政策实施前两年（2010）、前一年（2011）、当年（2012）、后一年（2013）、后两年（2014）、后三年（2015）、后四年（2016）、后五年（2017）、后六年（2018）、后七年（2019）、后八年（2020）</w:t>
      </w:r>
      <w:r>
        <w:rPr>
          <w:rFonts w:hint="eastAsia" w:ascii="Times New Roman" w:hAnsi="Times New Roman" w:eastAsia="宋体"/>
          <w:sz w:val="21"/>
          <w:szCs w:val="21"/>
          <w:lang w:val="en-US" w:eastAsia="zh-CN"/>
        </w:rPr>
        <w:t>。若年份为政策实施的前2年</w:t>
      </w:r>
      <w:r>
        <w:rPr>
          <w:rFonts w:hint="eastAsia" w:ascii="Times New Roman" w:hAnsi="Times New Roman" w:eastAsia="宋体"/>
          <w:sz w:val="21"/>
          <w:szCs w:val="21"/>
        </w:rPr>
        <w:t>（2010）</w:t>
      </w:r>
      <w:r>
        <w:rPr>
          <w:rFonts w:hint="eastAsia" w:ascii="Times New Roman" w:hAnsi="Times New Roman" w:eastAsia="宋体"/>
          <w:sz w:val="21"/>
          <w:szCs w:val="21"/>
          <w:lang w:val="en-US" w:eastAsia="zh-CN"/>
        </w:rPr>
        <w:t>，且企业为实验组</w:t>
      </w:r>
      <w:r>
        <w:rPr>
          <w:rFonts w:hint="eastAsia" w:ascii="Times New Roman" w:hAnsi="Times New Roman" w:eastAsia="宋体"/>
          <w:sz w:val="21"/>
          <w:szCs w:val="21"/>
        </w:rPr>
        <w:t>（</w:t>
      </w:r>
      <w:r>
        <w:rPr>
          <w:rFonts w:hint="eastAsia"/>
          <w:b w:val="0"/>
          <w:bCs w:val="0"/>
          <w:i/>
          <w:sz w:val="21"/>
          <w:szCs w:val="21"/>
          <w:lang w:val="en-US" w:eastAsia="zh-CN"/>
        </w:rPr>
        <w:t>Treat</w:t>
      </w:r>
      <w:r>
        <w:rPr>
          <w:rFonts w:hint="eastAsia" w:ascii="Times New Roman" w:hAnsi="Times New Roman" w:eastAsia="宋体"/>
          <w:b w:val="0"/>
          <w:bCs w:val="0"/>
          <w:sz w:val="21"/>
          <w:szCs w:val="21"/>
          <w:lang w:val="en-US" w:eastAsia="zh-CN"/>
        </w:rPr>
        <w:t>=1</w:t>
      </w:r>
      <w:r>
        <w:rPr>
          <w:rFonts w:hint="eastAsia" w:ascii="Times New Roman" w:hAnsi="Times New Roman" w:eastAsia="宋体"/>
          <w:sz w:val="21"/>
          <w:szCs w:val="21"/>
        </w:rPr>
        <w:t>）</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则</w:t>
      </w:r>
      <w:r>
        <w:rPr>
          <w:rFonts w:hint="eastAsia"/>
          <w:i/>
          <w:sz w:val="21"/>
          <w:szCs w:val="21"/>
          <w:lang w:eastAsia="zh-CN"/>
        </w:rPr>
        <w:t>per_2</w:t>
      </w:r>
      <w:r>
        <w:rPr>
          <w:rFonts w:hint="eastAsia" w:ascii="Times New Roman" w:hAnsi="Times New Roman" w:eastAsia="宋体"/>
          <w:sz w:val="21"/>
          <w:szCs w:val="21"/>
          <w:lang w:val="en-US" w:eastAsia="zh-CN"/>
        </w:rPr>
        <w:t>取1，否则为0，以此类推。</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检验结果如下表</w:t>
      </w:r>
      <w:r>
        <w:rPr>
          <w:rFonts w:hint="eastAsia"/>
          <w:sz w:val="21"/>
          <w:szCs w:val="21"/>
          <w:lang w:val="en-US" w:eastAsia="zh-CN"/>
        </w:rPr>
        <w:t>4</w:t>
      </w:r>
      <w:r>
        <w:rPr>
          <w:rFonts w:hint="eastAsia" w:ascii="Times New Roman" w:hAnsi="Times New Roman" w:eastAsia="宋体"/>
          <w:sz w:val="21"/>
          <w:szCs w:val="21"/>
          <w:lang w:val="en-US" w:eastAsia="zh-CN"/>
        </w:rPr>
        <w:t>所示，</w:t>
      </w:r>
      <w:r>
        <w:rPr>
          <w:rFonts w:hint="eastAsia" w:ascii="Times New Roman" w:hAnsi="Times New Roman" w:eastAsia="宋体"/>
          <w:sz w:val="21"/>
          <w:szCs w:val="21"/>
        </w:rPr>
        <w:t>发现</w:t>
      </w:r>
      <w:r>
        <w:rPr>
          <w:rFonts w:hint="eastAsia"/>
          <w:i/>
          <w:sz w:val="21"/>
          <w:szCs w:val="21"/>
          <w:lang w:eastAsia="zh-CN"/>
        </w:rPr>
        <w:t>per_2</w:t>
      </w:r>
      <w:r>
        <w:rPr>
          <w:rFonts w:hint="eastAsia" w:ascii="Times New Roman" w:hAnsi="Times New Roman" w:eastAsia="宋体"/>
          <w:sz w:val="21"/>
          <w:szCs w:val="21"/>
          <w:lang w:eastAsia="zh-CN"/>
        </w:rPr>
        <w:t>、</w:t>
      </w:r>
      <w:r>
        <w:rPr>
          <w:rFonts w:hint="eastAsia"/>
          <w:i/>
          <w:sz w:val="21"/>
          <w:szCs w:val="21"/>
          <w:lang w:eastAsia="zh-CN"/>
        </w:rPr>
        <w:t>per_1</w:t>
      </w:r>
      <w:r>
        <w:rPr>
          <w:rFonts w:hint="eastAsia" w:ascii="Times New Roman" w:hAnsi="Times New Roman" w:eastAsia="宋体"/>
          <w:sz w:val="21"/>
          <w:szCs w:val="21"/>
        </w:rPr>
        <w:t>系数均不显著，表明实验组和</w:t>
      </w:r>
      <w:r>
        <w:rPr>
          <w:rFonts w:hint="eastAsia" w:ascii="Times New Roman" w:hAnsi="Times New Roman" w:eastAsia="宋体"/>
          <w:sz w:val="21"/>
          <w:szCs w:val="21"/>
          <w:lang w:val="en-US" w:eastAsia="zh-CN"/>
        </w:rPr>
        <w:t>对照</w:t>
      </w:r>
      <w:r>
        <w:rPr>
          <w:rFonts w:hint="eastAsia" w:ascii="Times New Roman" w:hAnsi="Times New Roman" w:eastAsia="宋体"/>
          <w:sz w:val="21"/>
          <w:szCs w:val="21"/>
        </w:rPr>
        <w:t>组企业在实验开始之前具有平行趋势，而从</w:t>
      </w:r>
      <w:r>
        <w:rPr>
          <w:rFonts w:hint="eastAsia"/>
          <w:i/>
          <w:sz w:val="21"/>
          <w:szCs w:val="21"/>
          <w:lang w:eastAsia="zh-CN"/>
        </w:rPr>
        <w:t>Post_1</w:t>
      </w:r>
      <w:r>
        <w:rPr>
          <w:rFonts w:hint="eastAsia" w:ascii="Times New Roman" w:hAnsi="Times New Roman" w:eastAsia="宋体"/>
          <w:sz w:val="21"/>
          <w:szCs w:val="21"/>
        </w:rPr>
        <w:t>开始</w:t>
      </w:r>
      <w:r>
        <w:rPr>
          <w:rFonts w:hint="eastAsia" w:ascii="Times New Roman" w:hAnsi="Times New Roman" w:eastAsia="宋体"/>
          <w:sz w:val="21"/>
          <w:szCs w:val="21"/>
          <w:lang w:val="en-US" w:eastAsia="zh-CN"/>
        </w:rPr>
        <w:t>回归</w:t>
      </w:r>
      <w:r>
        <w:rPr>
          <w:rFonts w:hint="eastAsia" w:ascii="Times New Roman" w:hAnsi="Times New Roman" w:eastAsia="宋体"/>
          <w:sz w:val="21"/>
          <w:szCs w:val="21"/>
        </w:rPr>
        <w:t>系数显著</w:t>
      </w:r>
      <w:r>
        <w:rPr>
          <w:rFonts w:hint="eastAsia" w:ascii="Times New Roman" w:hAnsi="Times New Roman" w:eastAsia="宋体"/>
          <w:sz w:val="21"/>
          <w:szCs w:val="21"/>
          <w:lang w:eastAsia="zh-CN"/>
        </w:rPr>
        <w:t>，</w:t>
      </w:r>
      <w:r>
        <w:rPr>
          <w:rFonts w:hint="eastAsia" w:ascii="Times New Roman" w:hAnsi="Times New Roman" w:eastAsia="宋体"/>
          <w:sz w:val="21"/>
          <w:szCs w:val="21"/>
        </w:rPr>
        <w:t>说明从政策实施的后一年开始，绿色信贷政策促进了企业的绿色技术创新</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且这种促进作用呈现出随时间增强的趋势</w:t>
      </w:r>
      <w:r>
        <w:rPr>
          <w:rFonts w:hint="eastAsia" w:ascii="Times New Roman" w:hAnsi="Times New Roman" w:eastAsia="宋体"/>
          <w:sz w:val="21"/>
          <w:szCs w:val="21"/>
        </w:rPr>
        <w:t>。基于文章篇幅，控制变量估计结果未予显示，控制变量与表</w:t>
      </w:r>
      <w:r>
        <w:rPr>
          <w:rFonts w:hint="eastAsia"/>
          <w:sz w:val="21"/>
          <w:szCs w:val="21"/>
          <w:lang w:val="en-US" w:eastAsia="zh-CN"/>
        </w:rPr>
        <w:t>3</w:t>
      </w:r>
      <w:r>
        <w:rPr>
          <w:rFonts w:hint="eastAsia" w:ascii="Times New Roman" w:hAnsi="Times New Roman" w:eastAsia="宋体"/>
          <w:sz w:val="21"/>
          <w:szCs w:val="21"/>
        </w:rPr>
        <w:t>列（4）的控制变量相同。</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rPr>
      </w:pP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表4 平行趋势和动态效应检验结果</w:t>
      </w:r>
    </w:p>
    <w:tbl>
      <w:tblPr>
        <w:tblStyle w:val="19"/>
        <w:tblW w:w="0" w:type="auto"/>
        <w:jc w:val="center"/>
        <w:tblLayout w:type="fixed"/>
        <w:tblCellMar>
          <w:top w:w="0" w:type="dxa"/>
          <w:left w:w="108" w:type="dxa"/>
          <w:bottom w:w="0" w:type="dxa"/>
          <w:right w:w="108" w:type="dxa"/>
        </w:tblCellMar>
      </w:tblPr>
      <w:tblGrid>
        <w:gridCol w:w="1947"/>
        <w:gridCol w:w="1584"/>
      </w:tblGrid>
      <w:tr>
        <w:tblPrEx>
          <w:tblCellMar>
            <w:top w:w="0" w:type="dxa"/>
            <w:left w:w="108" w:type="dxa"/>
            <w:bottom w:w="0" w:type="dxa"/>
            <w:right w:w="108" w:type="dxa"/>
          </w:tblCellMar>
        </w:tblPrEx>
        <w:trPr>
          <w:jc w:val="center"/>
        </w:trPr>
        <w:tc>
          <w:tcPr>
            <w:tcW w:w="1947"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w:t>
            </w:r>
          </w:p>
        </w:tc>
      </w:tr>
      <w:tr>
        <w:tblPrEx>
          <w:tblCellMar>
            <w:top w:w="0" w:type="dxa"/>
            <w:left w:w="108" w:type="dxa"/>
            <w:bottom w:w="0" w:type="dxa"/>
            <w:right w:w="108" w:type="dxa"/>
          </w:tblCellMar>
        </w:tblPrEx>
        <w:trPr>
          <w:jc w:val="center"/>
        </w:trPr>
        <w:tc>
          <w:tcPr>
            <w:tcW w:w="1947"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VARIABLES</w:t>
            </w:r>
          </w:p>
        </w:tc>
        <w:tc>
          <w:tcPr>
            <w:tcW w:w="158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per_2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-0.0224</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(-0.2069)</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per_1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0.1426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(1.6017)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current</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0.0229</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(0.2940)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0.1278*</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(1.6937)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0.1397*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(1.8436)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0.1386*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(1.8434)</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0.1373*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(1.9191)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Post_5</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0.2143***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(2.9650)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0.1954***</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(2.7506)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0.2302***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(3.2932)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Post_8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0.1900***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(2.6910)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Constant</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-1.4152***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(-4.7593)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Controls</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Ind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Firm</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Year</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Observations</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21,853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Number of id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2,986</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R-squared</w:t>
            </w:r>
          </w:p>
        </w:tc>
        <w:tc>
          <w:tcPr>
            <w:tcW w:w="158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0.0426</w:t>
            </w:r>
          </w:p>
        </w:tc>
      </w:tr>
    </w:tbl>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cs="宋体"/>
          <w:sz w:val="21"/>
          <w:szCs w:val="21"/>
        </w:rPr>
      </w:pP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lang w:val="en-US"/>
        </w:rPr>
      </w:pPr>
      <w:bookmarkStart w:id="11" w:name="_Toc5413"/>
      <w:r>
        <w:rPr>
          <w:rFonts w:hint="eastAsia" w:ascii="Times New Roman" w:hAnsi="Times New Roman"/>
          <w:sz w:val="24"/>
          <w:szCs w:val="24"/>
        </w:rPr>
        <w:t>（</w:t>
      </w:r>
      <w:r>
        <w:rPr>
          <w:rFonts w:hint="eastAsia"/>
          <w:sz w:val="24"/>
          <w:szCs w:val="24"/>
          <w:lang w:val="en-US" w:eastAsia="zh-CN"/>
        </w:rPr>
        <w:t>四</w:t>
      </w:r>
      <w:r>
        <w:rPr>
          <w:rFonts w:hint="eastAsia" w:ascii="Times New Roman" w:hAnsi="Times New Roman"/>
          <w:sz w:val="24"/>
          <w:szCs w:val="24"/>
        </w:rPr>
        <w:t>）</w:t>
      </w:r>
      <w:r>
        <w:rPr>
          <w:rFonts w:hint="eastAsia" w:ascii="Times New Roman" w:hAnsi="Times New Roman" w:eastAsia="宋体" w:cs="宋体"/>
          <w:sz w:val="24"/>
          <w:szCs w:val="24"/>
          <w:lang w:val="en-US" w:eastAsia="zh-CN"/>
        </w:rPr>
        <w:t>稳健性检验</w:t>
      </w:r>
      <w:bookmarkEnd w:id="11"/>
    </w:p>
    <w:p>
      <w:pPr>
        <w:pStyle w:val="41"/>
        <w:keepNext w:val="0"/>
        <w:keepLines w:val="0"/>
        <w:pageBreakBefore w:val="0"/>
        <w:kinsoku/>
        <w:wordWrap/>
        <w:overflowPunct/>
        <w:topLinePunct w:val="0"/>
        <w:bidi w:val="0"/>
        <w:snapToGrid/>
        <w:spacing w:line="360" w:lineRule="auto"/>
        <w:ind w:firstLine="482"/>
        <w:textAlignment w:val="auto"/>
        <w:rPr>
          <w:rFonts w:hint="eastAsia" w:ascii="黑体" w:hAnsi="黑体" w:eastAsia="黑体" w:cs="黑体"/>
          <w:b w:val="0"/>
          <w:bCs w:val="0"/>
          <w:sz w:val="21"/>
          <w:szCs w:val="21"/>
          <w:lang w:val="en-US" w:eastAsia="zh-CN"/>
        </w:rPr>
      </w:pPr>
      <w:bookmarkStart w:id="12" w:name="_Toc28043"/>
      <w:r>
        <w:rPr>
          <w:rFonts w:hint="eastAsia" w:ascii="黑体" w:hAnsi="黑体" w:eastAsia="黑体" w:cs="黑体"/>
          <w:b w:val="0"/>
          <w:bCs w:val="0"/>
          <w:sz w:val="21"/>
          <w:szCs w:val="21"/>
        </w:rPr>
        <w:t>1.</w:t>
      </w:r>
      <w:r>
        <w:rPr>
          <w:rFonts w:hint="eastAsia" w:ascii="黑体" w:hAnsi="黑体" w:eastAsia="黑体" w:cs="黑体"/>
          <w:b w:val="0"/>
          <w:bCs w:val="0"/>
          <w:sz w:val="21"/>
          <w:szCs w:val="21"/>
          <w:lang w:val="en-US" w:eastAsia="zh-CN"/>
        </w:rPr>
        <w:t>安慰剂检验</w:t>
      </w:r>
      <w:bookmarkEnd w:id="12"/>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为了排除存在非观测值影响绿色信贷政策实施效果的可能性，本文采取随机生成实验组的方式进行安慰剂检验，具体步骤如下：</w:t>
      </w:r>
      <w:r>
        <w:rPr>
          <w:rFonts w:hint="eastAsia" w:ascii="Times New Roman" w:hAnsi="Times New Roman" w:eastAsia="宋体"/>
          <w:sz w:val="21"/>
          <w:szCs w:val="21"/>
        </w:rPr>
        <w:t>在样本中</w:t>
      </w:r>
      <w:r>
        <w:rPr>
          <w:rFonts w:hint="eastAsia" w:ascii="Times New Roman" w:hAnsi="Times New Roman" w:eastAsia="宋体"/>
          <w:sz w:val="21"/>
          <w:szCs w:val="21"/>
          <w:lang w:val="en-US" w:eastAsia="zh-CN"/>
        </w:rPr>
        <w:t>进行</w:t>
      </w:r>
      <w:r>
        <w:rPr>
          <w:rFonts w:hint="eastAsia" w:ascii="Times New Roman" w:hAnsi="Times New Roman" w:eastAsia="宋体"/>
          <w:sz w:val="21"/>
          <w:szCs w:val="21"/>
        </w:rPr>
        <w:t>随机抽样1000次</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将</w:t>
      </w:r>
      <w:r>
        <w:rPr>
          <w:rFonts w:hint="eastAsia" w:ascii="Times New Roman" w:hAnsi="Times New Roman" w:eastAsia="宋体"/>
          <w:sz w:val="21"/>
          <w:szCs w:val="21"/>
        </w:rPr>
        <w:t>随机抽取</w:t>
      </w:r>
      <w:r>
        <w:rPr>
          <w:rFonts w:hint="eastAsia" w:ascii="Times New Roman" w:hAnsi="Times New Roman" w:eastAsia="宋体"/>
          <w:sz w:val="21"/>
          <w:szCs w:val="21"/>
          <w:lang w:val="en-US" w:eastAsia="zh-CN"/>
        </w:rPr>
        <w:t>的1000个样本企业作为新的</w:t>
      </w:r>
      <w:r>
        <w:rPr>
          <w:rFonts w:hint="eastAsia" w:ascii="Times New Roman" w:hAnsi="Times New Roman" w:eastAsia="宋体"/>
          <w:sz w:val="21"/>
          <w:szCs w:val="21"/>
        </w:rPr>
        <w:t>实验组</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并</w:t>
      </w:r>
      <w:r>
        <w:rPr>
          <w:rFonts w:hint="eastAsia" w:ascii="Times New Roman" w:hAnsi="Times New Roman" w:eastAsia="宋体"/>
          <w:sz w:val="21"/>
          <w:szCs w:val="21"/>
        </w:rPr>
        <w:t>对这</w:t>
      </w:r>
      <w:r>
        <w:rPr>
          <w:rFonts w:hint="eastAsia" w:ascii="Times New Roman" w:hAnsi="Times New Roman" w:eastAsia="宋体"/>
          <w:sz w:val="21"/>
          <w:szCs w:val="21"/>
          <w:lang w:val="en-US" w:eastAsia="zh-CN"/>
        </w:rPr>
        <w:t>个</w:t>
      </w:r>
      <w:r>
        <w:rPr>
          <w:rFonts w:hint="eastAsia" w:ascii="Times New Roman" w:hAnsi="Times New Roman" w:eastAsia="宋体"/>
          <w:sz w:val="21"/>
          <w:szCs w:val="21"/>
        </w:rPr>
        <w:t>伪实验组进行回归</w:t>
      </w:r>
      <w:r>
        <w:rPr>
          <w:rFonts w:hint="eastAsia" w:ascii="Times New Roman" w:hAnsi="Times New Roman" w:eastAsia="宋体"/>
          <w:sz w:val="21"/>
          <w:szCs w:val="21"/>
          <w:lang w:eastAsia="zh-CN"/>
        </w:rPr>
        <w:t>，</w:t>
      </w:r>
      <w:r>
        <w:rPr>
          <w:rFonts w:hint="eastAsia" w:ascii="Times New Roman" w:hAnsi="Times New Roman" w:eastAsia="宋体"/>
          <w:sz w:val="21"/>
          <w:szCs w:val="21"/>
        </w:rPr>
        <w:t>保留每次的回归系数和p值，画出</w:t>
      </w:r>
      <w:r>
        <w:rPr>
          <w:rFonts w:hint="eastAsia" w:ascii="Times New Roman" w:hAnsi="Times New Roman" w:eastAsia="宋体"/>
          <w:sz w:val="21"/>
          <w:szCs w:val="21"/>
          <w:lang w:val="en-US" w:eastAsia="zh-CN"/>
        </w:rPr>
        <w:t>其</w:t>
      </w:r>
      <w:r>
        <w:rPr>
          <w:rFonts w:hint="eastAsia" w:ascii="Times New Roman" w:hAnsi="Times New Roman" w:eastAsia="宋体"/>
          <w:sz w:val="21"/>
          <w:szCs w:val="21"/>
        </w:rPr>
        <w:t>核密度图</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结果如图1所示。通过观察可以发现，图中</w:t>
      </w:r>
      <w:r>
        <w:rPr>
          <w:rFonts w:hint="eastAsia" w:ascii="Times New Roman" w:hAnsi="Times New Roman" w:eastAsia="宋体"/>
          <w:sz w:val="21"/>
          <w:szCs w:val="21"/>
        </w:rPr>
        <w:t>的系数大多分布在0附近，显著的异于表</w:t>
      </w:r>
      <w:r>
        <w:rPr>
          <w:rFonts w:hint="eastAsia"/>
          <w:sz w:val="21"/>
          <w:szCs w:val="21"/>
          <w:lang w:val="en-US" w:eastAsia="zh-CN"/>
        </w:rPr>
        <w:t>3</w:t>
      </w:r>
      <w:r>
        <w:rPr>
          <w:rFonts w:hint="eastAsia" w:ascii="Times New Roman" w:hAnsi="Times New Roman" w:eastAsia="宋体"/>
          <w:sz w:val="21"/>
          <w:szCs w:val="21"/>
        </w:rPr>
        <w:t>列（4）的回归得到的真值（0.12）且大多数p值</w:t>
      </w:r>
      <w:r>
        <w:rPr>
          <w:rFonts w:hint="eastAsia" w:ascii="Times New Roman" w:hAnsi="Times New Roman" w:eastAsia="宋体"/>
          <w:sz w:val="21"/>
          <w:szCs w:val="21"/>
          <w:lang w:val="en-US" w:eastAsia="zh-CN"/>
        </w:rPr>
        <w:t>小</w:t>
      </w:r>
      <w:r>
        <w:rPr>
          <w:rFonts w:hint="eastAsia" w:ascii="Times New Roman" w:hAnsi="Times New Roman" w:eastAsia="宋体"/>
          <w:sz w:val="21"/>
          <w:szCs w:val="21"/>
        </w:rPr>
        <w:t>于0.1</w:t>
      </w:r>
      <w:r>
        <w:rPr>
          <w:rFonts w:hint="eastAsia"/>
          <w:sz w:val="21"/>
          <w:szCs w:val="21"/>
          <w:lang w:val="en-US" w:eastAsia="zh-CN"/>
        </w:rPr>
        <w:t>0</w:t>
      </w:r>
      <w:r>
        <w:rPr>
          <w:rFonts w:hint="eastAsia" w:ascii="Times New Roman" w:hAnsi="Times New Roman" w:eastAsia="宋体"/>
          <w:sz w:val="21"/>
          <w:szCs w:val="21"/>
          <w:lang w:eastAsia="zh-CN"/>
        </w:rPr>
        <w:t>，</w:t>
      </w:r>
      <w:r>
        <w:rPr>
          <w:rFonts w:hint="eastAsia" w:ascii="Times New Roman" w:hAnsi="Times New Roman" w:eastAsia="宋体"/>
          <w:sz w:val="21"/>
          <w:szCs w:val="21"/>
        </w:rPr>
        <w:t>表明对于随机生成的伪实验组</w:t>
      </w:r>
      <w:r>
        <w:rPr>
          <w:rFonts w:hint="eastAsia" w:ascii="Times New Roman" w:hAnsi="Times New Roman" w:eastAsia="宋体"/>
          <w:sz w:val="21"/>
          <w:szCs w:val="21"/>
          <w:lang w:eastAsia="zh-CN"/>
        </w:rPr>
        <w:t>，</w:t>
      </w:r>
      <w:r>
        <w:rPr>
          <w:rFonts w:hint="eastAsia"/>
          <w:i/>
          <w:sz w:val="21"/>
          <w:szCs w:val="21"/>
          <w:lang w:val="en-US" w:eastAsia="zh-CN"/>
        </w:rPr>
        <w:t>Treat×Post</w:t>
      </w:r>
      <w:r>
        <w:rPr>
          <w:rFonts w:hint="eastAsia" w:ascii="Times New Roman" w:hAnsi="Times New Roman" w:eastAsia="宋体"/>
          <w:sz w:val="21"/>
          <w:szCs w:val="21"/>
        </w:rPr>
        <w:t>项</w:t>
      </w:r>
      <w:r>
        <w:rPr>
          <w:rFonts w:hint="eastAsia" w:ascii="Times New Roman" w:hAnsi="Times New Roman" w:eastAsia="宋体"/>
          <w:sz w:val="21"/>
          <w:szCs w:val="21"/>
          <w:lang w:val="en-US" w:eastAsia="zh-CN"/>
        </w:rPr>
        <w:t>的</w:t>
      </w:r>
      <w:r>
        <w:rPr>
          <w:rFonts w:hint="eastAsia" w:ascii="Times New Roman" w:hAnsi="Times New Roman" w:eastAsia="宋体"/>
          <w:sz w:val="21"/>
          <w:szCs w:val="21"/>
        </w:rPr>
        <w:t>系数并不显著，</w:t>
      </w:r>
      <w:r>
        <w:rPr>
          <w:rFonts w:hint="eastAsia" w:ascii="Times New Roman" w:hAnsi="Times New Roman" w:eastAsia="宋体"/>
          <w:sz w:val="21"/>
          <w:szCs w:val="21"/>
          <w:lang w:val="en-US" w:eastAsia="zh-CN"/>
        </w:rPr>
        <w:t>说明不存在非观测遗漏变量的影响干扰，可以</w:t>
      </w:r>
      <w:r>
        <w:rPr>
          <w:rFonts w:hint="eastAsia" w:ascii="Times New Roman" w:hAnsi="Times New Roman" w:eastAsia="宋体"/>
          <w:sz w:val="21"/>
          <w:szCs w:val="21"/>
        </w:rPr>
        <w:t>证明</w:t>
      </w:r>
      <w:r>
        <w:rPr>
          <w:rFonts w:hint="eastAsia" w:ascii="Times New Roman" w:hAnsi="Times New Roman" w:eastAsia="宋体"/>
          <w:sz w:val="21"/>
          <w:szCs w:val="21"/>
          <w:lang w:val="en-US" w:eastAsia="zh-CN"/>
        </w:rPr>
        <w:t>前文</w:t>
      </w:r>
      <w:r>
        <w:rPr>
          <w:rFonts w:hint="eastAsia" w:ascii="Times New Roman" w:hAnsi="Times New Roman" w:eastAsia="宋体"/>
          <w:sz w:val="21"/>
          <w:szCs w:val="21"/>
        </w:rPr>
        <w:t>实验结果的稳健性。</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rPr>
      </w:pPr>
    </w:p>
    <w:p>
      <w:pPr>
        <w:keepNext w:val="0"/>
        <w:keepLines w:val="0"/>
        <w:pageBreakBefore w:val="0"/>
        <w:kinsoku/>
        <w:wordWrap/>
        <w:overflowPunct/>
        <w:topLinePunct w:val="0"/>
        <w:autoSpaceDE w:val="0"/>
        <w:autoSpaceDN w:val="0"/>
        <w:bidi w:val="0"/>
        <w:snapToGrid/>
        <w:spacing w:line="360" w:lineRule="auto"/>
        <w:ind w:firstLine="420" w:firstLineChars="200"/>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drawing>
          <wp:inline distT="0" distB="0" distL="114300" distR="114300">
            <wp:extent cx="3609340" cy="2625090"/>
            <wp:effectExtent l="0" t="0" r="2540" b="11430"/>
            <wp:docPr id="2" name="图片 2" descr="安慰剂检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慰剂检验"/>
                    <pic:cNvPicPr>
                      <a:picLocks noChangeAspect="1"/>
                    </pic:cNvPicPr>
                  </pic:nvPicPr>
                  <pic:blipFill>
                    <a:blip r:embed="rId8"/>
                    <a:stretch>
                      <a:fillRect/>
                    </a:stretch>
                  </pic:blipFill>
                  <pic:spPr>
                    <a:xfrm>
                      <a:off x="0" y="0"/>
                      <a:ext cx="3609340" cy="2625090"/>
                    </a:xfrm>
                    <a:prstGeom prst="rect">
                      <a:avLst/>
                    </a:prstGeom>
                  </pic:spPr>
                </pic:pic>
              </a:graphicData>
            </a:graphic>
          </wp:inline>
        </w:drawing>
      </w: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 安慰剂检验结果</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pStyle w:val="41"/>
        <w:keepNext w:val="0"/>
        <w:keepLines w:val="0"/>
        <w:pageBreakBefore w:val="0"/>
        <w:kinsoku/>
        <w:wordWrap/>
        <w:overflowPunct/>
        <w:topLinePunct w:val="0"/>
        <w:bidi w:val="0"/>
        <w:snapToGrid/>
        <w:spacing w:line="360" w:lineRule="auto"/>
        <w:ind w:firstLine="482"/>
        <w:textAlignment w:val="auto"/>
        <w:rPr>
          <w:rFonts w:hint="eastAsia" w:ascii="黑体" w:hAnsi="黑体" w:eastAsia="黑体" w:cs="黑体"/>
          <w:b w:val="0"/>
          <w:bCs w:val="0"/>
          <w:sz w:val="21"/>
          <w:szCs w:val="21"/>
          <w:lang w:val="en-US" w:eastAsia="zh-CN"/>
        </w:rPr>
      </w:pPr>
      <w:bookmarkStart w:id="13" w:name="_Toc12760"/>
      <w:r>
        <w:rPr>
          <w:rFonts w:hint="eastAsia" w:ascii="黑体" w:hAnsi="黑体" w:eastAsia="黑体" w:cs="黑体"/>
          <w:b w:val="0"/>
          <w:bCs w:val="0"/>
          <w:sz w:val="21"/>
          <w:szCs w:val="21"/>
          <w:lang w:val="en-US" w:eastAsia="zh-CN"/>
        </w:rPr>
        <w:t>2</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倾向得分匹配</w:t>
      </w:r>
      <w:bookmarkEnd w:id="13"/>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本文采用倾向得分匹配与双重差分结合的方法（PSM-DID）进行稳健性检，以减少样本选择偏误引致的内生性，防止绿色信贷政策对企业绿色技术创新的促进作用由实验组和对照组企业个体间的差异造成。具体地，本文选用半径匹配和核匹配两种方法，首先选取控制变量对实验组和对照组的样本进行匹配，找到满足共同支撑假设的样本之后，再进行双重差分，得到的半径匹配结果如图2所示、核匹配结果如图3所示。虽然匹配方法有所不同，但匹配前后实验组和对照组之间控制变量的个体差异均得到了显著降低。</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keepNext w:val="0"/>
        <w:keepLines w:val="0"/>
        <w:pageBreakBefore w:val="0"/>
        <w:kinsoku/>
        <w:wordWrap/>
        <w:overflowPunct/>
        <w:topLinePunct w:val="0"/>
        <w:autoSpaceDE w:val="0"/>
        <w:autoSpaceDN w:val="0"/>
        <w:bidi w:val="0"/>
        <w:snapToGrid/>
        <w:spacing w:line="360" w:lineRule="auto"/>
        <w:ind w:firstLine="420" w:firstLineChars="20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drawing>
          <wp:inline distT="0" distB="0" distL="114300" distR="114300">
            <wp:extent cx="3604260" cy="2621915"/>
            <wp:effectExtent l="0" t="0" r="7620" b="14605"/>
            <wp:docPr id="14" name="图片 14" descr="半径匹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半径匹配"/>
                    <pic:cNvPicPr>
                      <a:picLocks noChangeAspect="1"/>
                    </pic:cNvPicPr>
                  </pic:nvPicPr>
                  <pic:blipFill>
                    <a:blip r:embed="rId9"/>
                    <a:stretch>
                      <a:fillRect/>
                    </a:stretch>
                  </pic:blipFill>
                  <pic:spPr>
                    <a:xfrm>
                      <a:off x="0" y="0"/>
                      <a:ext cx="3604260" cy="2621915"/>
                    </a:xfrm>
                    <a:prstGeom prst="rect">
                      <a:avLst/>
                    </a:prstGeom>
                  </pic:spPr>
                </pic:pic>
              </a:graphicData>
            </a:graphic>
          </wp:inline>
        </w:drawing>
      </w: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图2 半径匹配结果</w:t>
      </w: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p>
    <w:p>
      <w:pPr>
        <w:keepNext w:val="0"/>
        <w:keepLines w:val="0"/>
        <w:pageBreakBefore w:val="0"/>
        <w:kinsoku/>
        <w:wordWrap/>
        <w:overflowPunct/>
        <w:topLinePunct w:val="0"/>
        <w:autoSpaceDE w:val="0"/>
        <w:autoSpaceDN w:val="0"/>
        <w:bidi w:val="0"/>
        <w:snapToGrid/>
        <w:spacing w:line="360" w:lineRule="auto"/>
        <w:ind w:firstLine="420" w:firstLineChars="200"/>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drawing>
          <wp:inline distT="0" distB="0" distL="114300" distR="114300">
            <wp:extent cx="3495040" cy="2542540"/>
            <wp:effectExtent l="0" t="0" r="10160" b="2540"/>
            <wp:docPr id="15" name="图片 15" descr="核匹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核匹配"/>
                    <pic:cNvPicPr>
                      <a:picLocks noChangeAspect="1"/>
                    </pic:cNvPicPr>
                  </pic:nvPicPr>
                  <pic:blipFill>
                    <a:blip r:embed="rId10"/>
                    <a:stretch>
                      <a:fillRect/>
                    </a:stretch>
                  </pic:blipFill>
                  <pic:spPr>
                    <a:xfrm>
                      <a:off x="0" y="0"/>
                      <a:ext cx="3495040" cy="2542540"/>
                    </a:xfrm>
                    <a:prstGeom prst="rect">
                      <a:avLst/>
                    </a:prstGeom>
                  </pic:spPr>
                </pic:pic>
              </a:graphicData>
            </a:graphic>
          </wp:inline>
        </w:drawing>
      </w: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图3 核匹配结果</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匹配完成后，再对满足共同支撑假设的样本进行回归，结果如表</w:t>
      </w:r>
      <w:r>
        <w:rPr>
          <w:rFonts w:hint="eastAsia"/>
          <w:sz w:val="21"/>
          <w:szCs w:val="21"/>
          <w:lang w:val="en-US" w:eastAsia="zh-CN"/>
        </w:rPr>
        <w:t>5</w:t>
      </w:r>
      <w:r>
        <w:rPr>
          <w:rFonts w:hint="eastAsia" w:ascii="Times New Roman" w:hAnsi="Times New Roman" w:eastAsia="宋体"/>
          <w:sz w:val="21"/>
          <w:szCs w:val="21"/>
          <w:lang w:val="en-US" w:eastAsia="zh-CN"/>
        </w:rPr>
        <w:t>所示。观察结果可以得知，在进行倾向得分匹配（PSM）之后，虽然</w:t>
      </w:r>
      <w:r>
        <w:rPr>
          <w:rFonts w:hint="eastAsia"/>
          <w:i/>
          <w:sz w:val="21"/>
          <w:szCs w:val="21"/>
          <w:lang w:val="en-US" w:eastAsia="zh-CN"/>
        </w:rPr>
        <w:t>Treat×Post</w:t>
      </w:r>
      <w:r>
        <w:rPr>
          <w:rFonts w:hint="eastAsia" w:ascii="Times New Roman" w:hAnsi="Times New Roman" w:eastAsia="宋体"/>
          <w:sz w:val="21"/>
          <w:szCs w:val="21"/>
          <w:lang w:val="en-US" w:eastAsia="zh-CN"/>
        </w:rPr>
        <w:t>项的回归系数有所变化，其依旧显著为正，说明但绿色信贷政策显著的促进了企业的绿色技术创新。</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黑体" w:hAnsi="黑体" w:eastAsia="黑体" w:cs="黑体"/>
          <w:b w:val="0"/>
          <w:bCs w:val="0"/>
          <w:sz w:val="21"/>
          <w:szCs w:val="21"/>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表5 倾向得分匹配结果</w:t>
      </w:r>
    </w:p>
    <w:tbl>
      <w:tblPr>
        <w:tblStyle w:val="19"/>
        <w:tblW w:w="0" w:type="auto"/>
        <w:jc w:val="center"/>
        <w:tblLayout w:type="fixed"/>
        <w:tblCellMar>
          <w:top w:w="0" w:type="dxa"/>
          <w:left w:w="108" w:type="dxa"/>
          <w:bottom w:w="0" w:type="dxa"/>
          <w:right w:w="108" w:type="dxa"/>
        </w:tblCellMar>
      </w:tblPr>
      <w:tblGrid>
        <w:gridCol w:w="1947"/>
        <w:gridCol w:w="1584"/>
        <w:gridCol w:w="1584"/>
      </w:tblGrid>
      <w:tr>
        <w:tblPrEx>
          <w:tblCellMar>
            <w:top w:w="0" w:type="dxa"/>
            <w:left w:w="108" w:type="dxa"/>
            <w:bottom w:w="0" w:type="dxa"/>
            <w:right w:w="108" w:type="dxa"/>
          </w:tblCellMar>
        </w:tblPrEx>
        <w:trPr>
          <w:jc w:val="center"/>
        </w:trPr>
        <w:tc>
          <w:tcPr>
            <w:tcW w:w="1947"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w:t>
            </w:r>
          </w:p>
        </w:tc>
        <w:tc>
          <w:tcPr>
            <w:tcW w:w="158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w:t>
            </w:r>
          </w:p>
        </w:tc>
      </w:tr>
      <w:tr>
        <w:tblPrEx>
          <w:tblCellMar>
            <w:top w:w="0" w:type="dxa"/>
            <w:left w:w="108" w:type="dxa"/>
            <w:bottom w:w="0" w:type="dxa"/>
            <w:right w:w="108" w:type="dxa"/>
          </w:tblCellMar>
        </w:tblPrEx>
        <w:trPr>
          <w:jc w:val="center"/>
        </w:trPr>
        <w:tc>
          <w:tcPr>
            <w:tcW w:w="1947"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半径匹配</w:t>
            </w:r>
          </w:p>
        </w:tc>
        <w:tc>
          <w:tcPr>
            <w:tcW w:w="15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核匹配</w:t>
            </w:r>
          </w:p>
        </w:tc>
      </w:tr>
      <w:tr>
        <w:tblPrEx>
          <w:tblCellMar>
            <w:top w:w="0" w:type="dxa"/>
            <w:left w:w="108" w:type="dxa"/>
            <w:bottom w:w="0" w:type="dxa"/>
            <w:right w:w="108" w:type="dxa"/>
          </w:tblCellMar>
        </w:tblPrEx>
        <w:trPr>
          <w:jc w:val="center"/>
        </w:trPr>
        <w:tc>
          <w:tcPr>
            <w:tcW w:w="1947"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VARIABLES</w:t>
            </w:r>
          </w:p>
        </w:tc>
        <w:tc>
          <w:tcPr>
            <w:tcW w:w="158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c>
          <w:tcPr>
            <w:tcW w:w="158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Treat×Post</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0.1264***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0.1265***</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(2.6826)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(2.6830)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Lev</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-0.0208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-0.0210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(-0.4752)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(-0.4785)</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Size</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0.0810***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0.0809***</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(7.2619)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(7.2541)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Age</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-0.0320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-0.0315</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(-0.6117)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(-0.6025)</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ROA</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0.1730**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0.1730**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(2.2051)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(2.2047)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Growth</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-0.0436***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-0.0435***</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(-3.7285)</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(-3.7230)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Board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0.0745*</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0.0752**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(1.9489)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(1.9666)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Top1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-0.0011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-0.0011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(-1.5390)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(-1.5383)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Constant</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-1.4198***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-1.4203***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(-4.7267)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(-4.7280)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Ind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Firm</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Year</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Observations</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21,678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21,682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R-squared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0.0422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0.0422</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Number of id</w:t>
            </w:r>
          </w:p>
        </w:tc>
        <w:tc>
          <w:tcPr>
            <w:tcW w:w="158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2,981</w:t>
            </w:r>
          </w:p>
        </w:tc>
        <w:tc>
          <w:tcPr>
            <w:tcW w:w="158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2,981</w:t>
            </w:r>
          </w:p>
        </w:tc>
      </w:tr>
    </w:tbl>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pStyle w:val="41"/>
        <w:keepNext w:val="0"/>
        <w:keepLines w:val="0"/>
        <w:pageBreakBefore w:val="0"/>
        <w:kinsoku/>
        <w:wordWrap/>
        <w:overflowPunct/>
        <w:topLinePunct w:val="0"/>
        <w:bidi w:val="0"/>
        <w:snapToGrid/>
        <w:spacing w:line="360" w:lineRule="auto"/>
        <w:ind w:firstLine="482"/>
        <w:textAlignment w:val="auto"/>
        <w:rPr>
          <w:rFonts w:hint="eastAsia" w:ascii="黑体" w:hAnsi="黑体" w:eastAsia="黑体" w:cs="黑体"/>
          <w:b w:val="0"/>
          <w:bCs w:val="0"/>
          <w:sz w:val="21"/>
          <w:szCs w:val="21"/>
          <w:lang w:val="en-US" w:eastAsia="zh-CN"/>
        </w:rPr>
      </w:pPr>
      <w:bookmarkStart w:id="14" w:name="_Toc23841"/>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更换变量衡量方式</w:t>
      </w:r>
      <w:bookmarkEnd w:id="14"/>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为了进一步衡量基准回归的稳健性，本文采用企业当年获得的绿色技术专利数量加1的自然对数（</w:t>
      </w:r>
      <w:r>
        <w:rPr>
          <w:rFonts w:hint="eastAsia"/>
          <w:i/>
          <w:sz w:val="21"/>
          <w:szCs w:val="21"/>
          <w:lang w:val="en-US" w:eastAsia="zh-CN"/>
        </w:rPr>
        <w:t>Patent1</w:t>
      </w:r>
      <w:r>
        <w:rPr>
          <w:rFonts w:hint="eastAsia" w:ascii="Times New Roman" w:hAnsi="Times New Roman" w:eastAsia="宋体"/>
          <w:sz w:val="21"/>
          <w:szCs w:val="21"/>
          <w:lang w:val="en-US" w:eastAsia="zh-CN"/>
        </w:rPr>
        <w:t>）做为</w:t>
      </w:r>
      <w:r>
        <w:rPr>
          <w:rFonts w:hint="eastAsia" w:ascii="Times New Roman" w:hAnsi="Times New Roman" w:eastAsia="宋体"/>
          <w:sz w:val="21"/>
          <w:szCs w:val="21"/>
        </w:rPr>
        <w:t>企业绿色技术创新水平（</w:t>
      </w:r>
      <w:r>
        <w:rPr>
          <w:rFonts w:hint="eastAsia"/>
          <w:i/>
          <w:sz w:val="21"/>
          <w:szCs w:val="21"/>
          <w:lang w:eastAsia="zh-CN"/>
        </w:rPr>
        <w:t>Patent</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的替代变量，以衡量绿色信贷政策实施后企业绿色技术创新的变化。回归结果如下方表</w:t>
      </w:r>
      <w:r>
        <w:rPr>
          <w:rFonts w:hint="eastAsia"/>
          <w:sz w:val="21"/>
          <w:szCs w:val="21"/>
          <w:lang w:val="en-US" w:eastAsia="zh-CN"/>
        </w:rPr>
        <w:t>6</w:t>
      </w:r>
      <w:r>
        <w:rPr>
          <w:rFonts w:hint="eastAsia" w:ascii="Times New Roman" w:hAnsi="Times New Roman" w:eastAsia="宋体"/>
          <w:sz w:val="21"/>
          <w:szCs w:val="21"/>
          <w:lang w:val="en-US" w:eastAsia="zh-CN"/>
        </w:rPr>
        <w:t>列（1）所示，更换绿色技术创新的衡量方式后，</w:t>
      </w:r>
      <w:r>
        <w:rPr>
          <w:rFonts w:hint="eastAsia"/>
          <w:i/>
          <w:sz w:val="21"/>
          <w:szCs w:val="21"/>
          <w:lang w:val="en-US" w:eastAsia="zh-CN"/>
        </w:rPr>
        <w:t>Treat×Post</w:t>
      </w:r>
      <w:r>
        <w:rPr>
          <w:rFonts w:hint="eastAsia" w:ascii="Times New Roman" w:hAnsi="Times New Roman" w:eastAsia="宋体"/>
          <w:sz w:val="21"/>
          <w:szCs w:val="21"/>
          <w:lang w:val="en-US" w:eastAsia="zh-CN"/>
        </w:rPr>
        <w:t>项的系数依旧显著为正，说明了基准回归结果的稳健性。</w:t>
      </w:r>
    </w:p>
    <w:p>
      <w:pPr>
        <w:pStyle w:val="41"/>
        <w:keepNext w:val="0"/>
        <w:keepLines w:val="0"/>
        <w:pageBreakBefore w:val="0"/>
        <w:kinsoku/>
        <w:wordWrap/>
        <w:overflowPunct/>
        <w:topLinePunct w:val="0"/>
        <w:bidi w:val="0"/>
        <w:snapToGrid/>
        <w:spacing w:line="360" w:lineRule="auto"/>
        <w:ind w:firstLine="482"/>
        <w:textAlignment w:val="auto"/>
        <w:rPr>
          <w:rFonts w:hint="eastAsia" w:ascii="黑体" w:hAnsi="黑体" w:eastAsia="黑体" w:cs="黑体"/>
          <w:b w:val="0"/>
          <w:bCs w:val="0"/>
          <w:sz w:val="21"/>
          <w:szCs w:val="21"/>
          <w:lang w:val="en-US" w:eastAsia="zh-CN"/>
        </w:rPr>
      </w:pPr>
      <w:bookmarkStart w:id="15" w:name="_Toc4265"/>
      <w:r>
        <w:rPr>
          <w:rFonts w:hint="eastAsia" w:ascii="黑体" w:hAnsi="黑体" w:eastAsia="黑体" w:cs="黑体"/>
          <w:b w:val="0"/>
          <w:bCs w:val="0"/>
          <w:sz w:val="21"/>
          <w:szCs w:val="21"/>
          <w:lang w:val="en-US" w:eastAsia="zh-CN"/>
        </w:rPr>
        <w:t>4</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改变样本窗期</w:t>
      </w:r>
      <w:bookmarkEnd w:id="15"/>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szCs w:val="21"/>
          <w:lang w:val="en-US" w:eastAsia="zh-CN"/>
        </w:rPr>
        <w:t>考虑到2019年底爆发的新冠疫情对我国宏观经济运行造成了较大影响，为排除经济异常波动对实证的干扰，</w:t>
      </w:r>
      <w:r>
        <w:rPr>
          <w:rFonts w:hint="eastAsia"/>
          <w:szCs w:val="21"/>
        </w:rPr>
        <w:t>本文将样本期间由原来的2009-2020年缩短到2009-2018年</w:t>
      </w:r>
      <w:r>
        <w:rPr>
          <w:rFonts w:hint="eastAsia" w:ascii="Times New Roman" w:hAnsi="Times New Roman" w:eastAsia="宋体"/>
          <w:sz w:val="21"/>
          <w:szCs w:val="21"/>
          <w:lang w:val="en-US" w:eastAsia="zh-CN"/>
        </w:rPr>
        <w:t>。由下方表</w:t>
      </w:r>
      <w:r>
        <w:rPr>
          <w:rFonts w:hint="eastAsia"/>
          <w:sz w:val="21"/>
          <w:szCs w:val="21"/>
          <w:lang w:val="en-US" w:eastAsia="zh-CN"/>
        </w:rPr>
        <w:t>6</w:t>
      </w:r>
      <w:r>
        <w:rPr>
          <w:rFonts w:hint="eastAsia" w:ascii="Times New Roman" w:hAnsi="Times New Roman" w:eastAsia="宋体"/>
          <w:sz w:val="21"/>
          <w:szCs w:val="21"/>
          <w:lang w:val="en-US" w:eastAsia="zh-CN"/>
        </w:rPr>
        <w:t>列（2）、（3）可以看出，</w:t>
      </w:r>
      <w:r>
        <w:rPr>
          <w:rFonts w:hint="eastAsia"/>
          <w:i/>
          <w:sz w:val="21"/>
          <w:szCs w:val="21"/>
          <w:lang w:val="en-US" w:eastAsia="zh-CN"/>
        </w:rPr>
        <w:t>Treat×Post</w:t>
      </w:r>
      <w:r>
        <w:rPr>
          <w:rFonts w:hint="eastAsia" w:ascii="Times New Roman" w:hAnsi="Times New Roman" w:eastAsia="宋体"/>
          <w:sz w:val="21"/>
          <w:szCs w:val="21"/>
          <w:lang w:val="en-US" w:eastAsia="zh-CN"/>
        </w:rPr>
        <w:t>项的回归系数有所变化，但依旧显著为正，说明</w:t>
      </w:r>
      <w:r>
        <w:rPr>
          <w:rFonts w:hint="eastAsia"/>
          <w:sz w:val="21"/>
          <w:szCs w:val="21"/>
          <w:lang w:val="en-US" w:eastAsia="zh-CN"/>
        </w:rPr>
        <w:t>在</w:t>
      </w:r>
      <w:r>
        <w:rPr>
          <w:rFonts w:hint="eastAsia"/>
          <w:szCs w:val="21"/>
          <w:lang w:val="en-US" w:eastAsia="zh-CN"/>
        </w:rPr>
        <w:t>新冠疫情爆发之前的年份中</w:t>
      </w:r>
      <w:r>
        <w:rPr>
          <w:rFonts w:hint="eastAsia" w:ascii="Times New Roman" w:hAnsi="Times New Roman" w:eastAsia="宋体"/>
          <w:sz w:val="21"/>
          <w:szCs w:val="21"/>
          <w:lang w:val="en-US" w:eastAsia="zh-CN"/>
        </w:rPr>
        <w:t>，绿色信贷政策</w:t>
      </w:r>
      <w:r>
        <w:rPr>
          <w:rFonts w:hint="eastAsia"/>
          <w:sz w:val="21"/>
          <w:szCs w:val="21"/>
          <w:lang w:val="en-US" w:eastAsia="zh-CN"/>
        </w:rPr>
        <w:t>显著地</w:t>
      </w:r>
      <w:r>
        <w:rPr>
          <w:rFonts w:hint="eastAsia" w:ascii="Times New Roman" w:hAnsi="Times New Roman" w:eastAsia="宋体"/>
          <w:sz w:val="21"/>
          <w:szCs w:val="21"/>
          <w:lang w:val="en-US" w:eastAsia="zh-CN"/>
        </w:rPr>
        <w:t>促进了企业绿色技术创新。</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宋体"/>
          <w:sz w:val="21"/>
          <w:szCs w:val="21"/>
          <w:lang w:val="en-US" w:eastAsia="zh-CN"/>
        </w:rPr>
      </w:pPr>
      <w:r>
        <w:rPr>
          <w:rFonts w:hint="eastAsia" w:ascii="黑体" w:hAnsi="黑体" w:eastAsia="黑体" w:cs="黑体"/>
          <w:b w:val="0"/>
          <w:bCs w:val="0"/>
          <w:sz w:val="21"/>
          <w:szCs w:val="21"/>
          <w:lang w:val="en-US" w:eastAsia="zh-CN"/>
        </w:rPr>
        <w:t>表6 更换变量衡量方式和改变样本窗期检验结果</w:t>
      </w:r>
      <w:r>
        <w:rPr>
          <w:rFonts w:hint="eastAsia" w:ascii="Times New Roman" w:hAnsi="Times New Roman" w:eastAsia="宋体"/>
          <w:sz w:val="21"/>
          <w:szCs w:val="21"/>
          <w:lang w:val="en-US" w:eastAsia="zh-CN"/>
        </w:rPr>
        <w:t xml:space="preserve"> </w:t>
      </w:r>
    </w:p>
    <w:tbl>
      <w:tblPr>
        <w:tblStyle w:val="19"/>
        <w:tblW w:w="9146" w:type="dxa"/>
        <w:jc w:val="center"/>
        <w:tblLayout w:type="fixed"/>
        <w:tblCellMar>
          <w:top w:w="0" w:type="dxa"/>
          <w:left w:w="108" w:type="dxa"/>
          <w:bottom w:w="0" w:type="dxa"/>
          <w:right w:w="108" w:type="dxa"/>
        </w:tblCellMar>
      </w:tblPr>
      <w:tblGrid>
        <w:gridCol w:w="1947"/>
        <w:gridCol w:w="2211"/>
        <w:gridCol w:w="2494"/>
        <w:gridCol w:w="2494"/>
      </w:tblGrid>
      <w:tr>
        <w:tblPrEx>
          <w:tblCellMar>
            <w:top w:w="0" w:type="dxa"/>
            <w:left w:w="108" w:type="dxa"/>
            <w:bottom w:w="0" w:type="dxa"/>
            <w:right w:w="108" w:type="dxa"/>
          </w:tblCellMar>
        </w:tblPrEx>
        <w:trPr>
          <w:jc w:val="center"/>
        </w:trPr>
        <w:tc>
          <w:tcPr>
            <w:tcW w:w="1947"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w:t>
            </w:r>
          </w:p>
        </w:tc>
        <w:tc>
          <w:tcPr>
            <w:tcW w:w="249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w:t>
            </w:r>
          </w:p>
        </w:tc>
        <w:tc>
          <w:tcPr>
            <w:tcW w:w="249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w:t>
            </w:r>
          </w:p>
        </w:tc>
      </w:tr>
      <w:tr>
        <w:tblPrEx>
          <w:tblCellMar>
            <w:top w:w="0" w:type="dxa"/>
            <w:left w:w="108" w:type="dxa"/>
            <w:bottom w:w="0" w:type="dxa"/>
            <w:right w:w="108" w:type="dxa"/>
          </w:tblCellMar>
        </w:tblPrEx>
        <w:trPr>
          <w:trHeight w:val="397" w:hRule="atLeast"/>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更换变量衡量方式</w:t>
            </w:r>
          </w:p>
        </w:tc>
        <w:tc>
          <w:tcPr>
            <w:tcW w:w="4988" w:type="dxa"/>
            <w:gridSpan w:val="2"/>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改变样本窗期</w:t>
            </w:r>
          </w:p>
        </w:tc>
      </w:tr>
      <w:tr>
        <w:tblPrEx>
          <w:tblCellMar>
            <w:top w:w="0" w:type="dxa"/>
            <w:left w:w="108" w:type="dxa"/>
            <w:bottom w:w="0" w:type="dxa"/>
            <w:right w:w="108" w:type="dxa"/>
          </w:tblCellMar>
        </w:tblPrEx>
        <w:trPr>
          <w:jc w:val="center"/>
        </w:trPr>
        <w:tc>
          <w:tcPr>
            <w:tcW w:w="1947"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VARIABLES</w:t>
            </w:r>
          </w:p>
        </w:tc>
        <w:tc>
          <w:tcPr>
            <w:tcW w:w="2211"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eastAsia="zh-CN"/>
              </w:rPr>
              <w:t>Patent1</w:t>
            </w:r>
          </w:p>
        </w:tc>
        <w:tc>
          <w:tcPr>
            <w:tcW w:w="249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c>
          <w:tcPr>
            <w:tcW w:w="249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i/>
                <w:sz w:val="20"/>
                <w:szCs w:val="20"/>
                <w:lang w:eastAsia="zh-CN"/>
              </w:rPr>
              <w:t>Patent1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Treat×Post</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0.1246***</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0.0953*</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0.1147***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(3.1730)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(1.8774)</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(2.7555)</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Lev</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0.0302</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0.0174</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0.0677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(0.8316)</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(0.3416)</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(1.6231)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Size</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0.0600***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0.0796***</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0.0492***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(6.5209)</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(6.0464)</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(4.5617)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Age</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0.0161</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0.0223</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0.0183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(0.3709)</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(0.3538)</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(0.3536)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ROA</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-0.0036</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0.2375**</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0.0202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(-0.0556)</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(2.3980)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(0.2491)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Growth</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-0.0390***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-0.0520***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-0.0468***</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(-4.0231)</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(-3.9810)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(-4.3721)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Board</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-0.0097</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0.1007**</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0.0041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(-0.3078)</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(2.2585)</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(0.1112)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Top1</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-0.0009</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-0.0010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-0.0011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(-1.5307)</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(-1.1913)</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(-1.6182)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Constant</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-1.0472***</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-1.5886***</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-0.8627***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(-4.2193)</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(-4.5529)</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(-3.0166)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Ind</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Firm</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Year</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Observations</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21,853</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16,587</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16,587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R-squared</w:t>
            </w:r>
          </w:p>
        </w:tc>
        <w:tc>
          <w:tcPr>
            <w:tcW w:w="2211"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0.0403</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0.0400</w:t>
            </w:r>
          </w:p>
        </w:tc>
        <w:tc>
          <w:tcPr>
            <w:tcW w:w="249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0.0321</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Number of id</w:t>
            </w:r>
          </w:p>
        </w:tc>
        <w:tc>
          <w:tcPr>
            <w:tcW w:w="2211"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2,986</w:t>
            </w:r>
          </w:p>
        </w:tc>
        <w:tc>
          <w:tcPr>
            <w:tcW w:w="249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2,916</w:t>
            </w:r>
          </w:p>
        </w:tc>
        <w:tc>
          <w:tcPr>
            <w:tcW w:w="249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2,916</w:t>
            </w:r>
          </w:p>
        </w:tc>
      </w:tr>
    </w:tbl>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pStyle w:val="40"/>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宋体"/>
          <w:sz w:val="24"/>
          <w:szCs w:val="24"/>
          <w:lang w:val="en-US"/>
        </w:rPr>
      </w:pPr>
      <w:bookmarkStart w:id="16" w:name="_Toc15384"/>
      <w:r>
        <w:rPr>
          <w:rFonts w:hint="eastAsia" w:ascii="Times New Roman" w:hAnsi="Times New Roman"/>
          <w:sz w:val="24"/>
          <w:szCs w:val="24"/>
        </w:rPr>
        <w:t>（</w:t>
      </w:r>
      <w:r>
        <w:rPr>
          <w:rFonts w:hint="eastAsia"/>
          <w:sz w:val="24"/>
          <w:szCs w:val="24"/>
          <w:lang w:val="en-US" w:eastAsia="zh-CN"/>
        </w:rPr>
        <w:t>五</w:t>
      </w:r>
      <w:r>
        <w:rPr>
          <w:rFonts w:hint="eastAsia" w:ascii="Times New Roman" w:hAnsi="Times New Roman"/>
          <w:sz w:val="24"/>
          <w:szCs w:val="24"/>
        </w:rPr>
        <w:t>）</w:t>
      </w:r>
      <w:r>
        <w:rPr>
          <w:rFonts w:hint="eastAsia" w:ascii="Times New Roman" w:hAnsi="Times New Roman" w:eastAsia="宋体" w:cs="宋体"/>
          <w:sz w:val="24"/>
          <w:szCs w:val="24"/>
          <w:lang w:val="en-US" w:eastAsia="zh-CN"/>
        </w:rPr>
        <w:t>异质性检验</w:t>
      </w:r>
      <w:bookmarkEnd w:id="16"/>
    </w:p>
    <w:p>
      <w:pPr>
        <w:pStyle w:val="41"/>
        <w:keepNext w:val="0"/>
        <w:keepLines w:val="0"/>
        <w:pageBreakBefore w:val="0"/>
        <w:kinsoku/>
        <w:wordWrap/>
        <w:overflowPunct/>
        <w:topLinePunct w:val="0"/>
        <w:bidi w:val="0"/>
        <w:snapToGrid/>
        <w:spacing w:line="360" w:lineRule="auto"/>
        <w:ind w:firstLine="482"/>
        <w:textAlignment w:val="auto"/>
        <w:rPr>
          <w:rFonts w:hint="eastAsia" w:ascii="黑体" w:hAnsi="黑体" w:eastAsia="黑体" w:cs="黑体"/>
          <w:b w:val="0"/>
          <w:bCs w:val="0"/>
          <w:sz w:val="21"/>
          <w:szCs w:val="21"/>
          <w:lang w:val="en-US" w:eastAsia="zh-CN"/>
        </w:rPr>
      </w:pPr>
      <w:bookmarkStart w:id="17" w:name="_Toc29996"/>
      <w:r>
        <w:rPr>
          <w:rFonts w:hint="eastAsia" w:ascii="黑体" w:hAnsi="黑体" w:eastAsia="黑体" w:cs="黑体"/>
          <w:b w:val="0"/>
          <w:bCs w:val="0"/>
          <w:sz w:val="21"/>
          <w:szCs w:val="21"/>
        </w:rPr>
        <w:t>1.</w:t>
      </w:r>
      <w:r>
        <w:rPr>
          <w:rFonts w:hint="eastAsia" w:ascii="黑体" w:hAnsi="黑体" w:eastAsia="黑体" w:cs="黑体"/>
          <w:b w:val="0"/>
          <w:bCs w:val="0"/>
          <w:sz w:val="21"/>
          <w:szCs w:val="21"/>
          <w:lang w:val="en-US" w:eastAsia="zh-CN"/>
        </w:rPr>
        <w:t>地区异质性</w:t>
      </w:r>
      <w:bookmarkEnd w:id="17"/>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经济发展水平不平衡</w:t>
      </w:r>
      <w:r>
        <w:rPr>
          <w:rFonts w:hint="eastAsia"/>
          <w:sz w:val="21"/>
          <w:szCs w:val="21"/>
          <w:lang w:val="en-US" w:eastAsia="zh-CN"/>
        </w:rPr>
        <w:t>、</w:t>
      </w:r>
      <w:r>
        <w:rPr>
          <w:rFonts w:hint="eastAsia" w:ascii="Times New Roman" w:hAnsi="Times New Roman" w:eastAsia="宋体"/>
          <w:sz w:val="21"/>
          <w:szCs w:val="21"/>
          <w:lang w:val="en-US" w:eastAsia="zh-CN"/>
        </w:rPr>
        <w:t>地区差异大，是我国如今的</w:t>
      </w:r>
      <w:r>
        <w:rPr>
          <w:rFonts w:hint="eastAsia"/>
          <w:sz w:val="21"/>
          <w:szCs w:val="21"/>
          <w:lang w:val="en-US" w:eastAsia="zh-CN"/>
        </w:rPr>
        <w:t>发展现状</w:t>
      </w:r>
      <w:r>
        <w:rPr>
          <w:rFonts w:hint="eastAsia" w:ascii="Times New Roman" w:hAnsi="Times New Roman" w:eastAsia="宋体"/>
          <w:sz w:val="21"/>
          <w:szCs w:val="21"/>
          <w:lang w:val="en-US" w:eastAsia="zh-CN"/>
        </w:rPr>
        <w:t>。具体到技术创新方面，东部沿海发达省份因其财力、人力资源丰厚，创新成果屡屡涌现，远超西部内陆地区。由此，本文试图检验地区间绿色信贷政策对企业绿色技术创新作用的异质性，将样本企业按其注册地进行划分，分组为东部地区企业、中部地区企业和西部地区企业。对三组样本分别采用式（1）的方法进行回归，回归结果如表</w:t>
      </w:r>
      <w:r>
        <w:rPr>
          <w:rFonts w:hint="eastAsia"/>
          <w:sz w:val="21"/>
          <w:szCs w:val="21"/>
          <w:lang w:val="en-US" w:eastAsia="zh-CN"/>
        </w:rPr>
        <w:t>7</w:t>
      </w:r>
      <w:r>
        <w:rPr>
          <w:rFonts w:hint="eastAsia" w:ascii="Times New Roman" w:hAnsi="Times New Roman" w:eastAsia="宋体"/>
          <w:sz w:val="21"/>
          <w:szCs w:val="21"/>
          <w:lang w:val="en-US" w:eastAsia="zh-CN"/>
        </w:rPr>
        <w:t>所示。根据回归结果，绿色信贷政策显著的促进了东部企业的绿色技术创新，而对中西部企业绿色技术创新的影响不显著。这可能是因为东部地区具有更高的经济发展水平、更良好的市场环境、更多的高素质人才和更严格的政策实施效力，因此为企业的绿色技术创新提供了良好的土壤；而中西部地区经济发展相对落后，无法大量吸引素质较高的人才，从而使得绿色信贷对于企业的创新作用不显著。</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表7 地区异质性检验结果</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7"/>
        <w:gridCol w:w="1814"/>
        <w:gridCol w:w="1814"/>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47"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w:t>
            </w:r>
          </w:p>
        </w:tc>
        <w:tc>
          <w:tcPr>
            <w:tcW w:w="1814"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w:t>
            </w:r>
          </w:p>
        </w:tc>
        <w:tc>
          <w:tcPr>
            <w:tcW w:w="1814" w:type="dxa"/>
            <w:tcBorders>
              <w:top w:val="single" w:color="auto" w:sz="12"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东部</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中部</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VARIABLES</w:t>
            </w:r>
          </w:p>
        </w:tc>
        <w:tc>
          <w:tcPr>
            <w:tcW w:w="1814"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Patent</w:t>
            </w:r>
          </w:p>
        </w:tc>
        <w:tc>
          <w:tcPr>
            <w:tcW w:w="1814"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Patent</w:t>
            </w:r>
          </w:p>
        </w:tc>
        <w:tc>
          <w:tcPr>
            <w:tcW w:w="1814" w:type="dxa"/>
            <w:tcBorders>
              <w:top w:val="nil"/>
              <w:left w:val="nil"/>
              <w:bottom w:val="single" w:color="auto" w:sz="6"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Patent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single" w:color="auto" w:sz="6" w:space="0"/>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sz w:val="20"/>
                <w:szCs w:val="20"/>
                <w:lang w:eastAsia="zh-CN"/>
              </w:rPr>
            </w:pPr>
            <w:r>
              <w:rPr>
                <w:rFonts w:hint="eastAsia"/>
                <w:i/>
                <w:sz w:val="20"/>
                <w:szCs w:val="20"/>
                <w:lang w:val="en-US" w:eastAsia="zh-CN"/>
              </w:rPr>
              <w:t>Treat×Post</w:t>
            </w:r>
          </w:p>
        </w:tc>
        <w:tc>
          <w:tcPr>
            <w:tcW w:w="1814" w:type="dxa"/>
            <w:tcBorders>
              <w:top w:val="single" w:color="auto" w:sz="6" w:space="0"/>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0.1520**</w:t>
            </w:r>
          </w:p>
        </w:tc>
        <w:tc>
          <w:tcPr>
            <w:tcW w:w="1814" w:type="dxa"/>
            <w:tcBorders>
              <w:top w:val="single" w:color="auto" w:sz="6" w:space="0"/>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0.1416</w:t>
            </w:r>
          </w:p>
        </w:tc>
        <w:tc>
          <w:tcPr>
            <w:tcW w:w="1814" w:type="dxa"/>
            <w:tcBorders>
              <w:top w:val="single" w:color="auto" w:sz="6" w:space="0"/>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(2.3753)</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(1.2698)</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Lev</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-0.0334</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0.2099*</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(-0.6189)</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(1.6993)</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Size</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0.0783***</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0.0836***</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(5.6795)</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(2.7655)</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(2.7843)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Age</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0.0729</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-0.2281</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-0.5097***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(1.1990)</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(-1.3975)</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(-3.2848)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lang w:val="en-US" w:eastAsia="zh-CN"/>
              </w:rPr>
            </w:pPr>
            <w:r>
              <w:rPr>
                <w:rFonts w:hint="eastAsia"/>
                <w:i/>
                <w:sz w:val="20"/>
                <w:szCs w:val="20"/>
                <w:lang w:val="en-US" w:eastAsia="zh-CN"/>
              </w:rPr>
              <w:t>ROA</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0.1166</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0.2215</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0.3501*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(1.2210)</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(1.0258)</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(1.7313)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Growth</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-0.0463***</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-0.0959***</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(-3.1261)</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(-3.0096)</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(0.4556)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Board</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0.0723</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0.1744*</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(1.5230)</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(1.7343)</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eastAsia"/>
                <w:i/>
                <w:sz w:val="20"/>
                <w:szCs w:val="20"/>
                <w:lang w:val="en-US" w:eastAsia="zh-CN"/>
              </w:rPr>
              <w:t>Top1</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0.0001</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-0.0018</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(0.1389)</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(-0.9362)</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(-1.5841)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Constant</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-1.5126***</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-1.5484</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(-4.0364)</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(-1.6250)</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i/>
                <w:sz w:val="20"/>
                <w:szCs w:val="20"/>
                <w:lang w:val="en-US" w:eastAsia="zh-CN"/>
              </w:rPr>
              <w:t>Ind</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i/>
                <w:sz w:val="20"/>
                <w:szCs w:val="20"/>
                <w:lang w:val="en-US" w:eastAsia="zh-CN"/>
              </w:rPr>
              <w:t>Firm</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i/>
                <w:sz w:val="20"/>
                <w:szCs w:val="20"/>
                <w:lang w:val="en-US" w:eastAsia="zh-CN"/>
              </w:rPr>
              <w:t>Year</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kern w:val="2"/>
                <w:sz w:val="20"/>
                <w:szCs w:val="20"/>
                <w:lang w:val="en-US" w:eastAsia="zh-CN"/>
              </w:rPr>
            </w:pPr>
            <w:r>
              <w:rPr>
                <w:rFonts w:hint="eastAsia" w:ascii="Times New Roman" w:hAnsi="Times New Roman" w:eastAsia="宋体"/>
                <w:sz w:val="20"/>
                <w:szCs w:val="2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Observations</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14,953</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3,156</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R-squared</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0.0428</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0.0759</w:t>
            </w:r>
          </w:p>
        </w:tc>
        <w:tc>
          <w:tcPr>
            <w:tcW w:w="1814" w:type="dxa"/>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0.0464</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Number of id</w:t>
            </w:r>
          </w:p>
        </w:tc>
        <w:tc>
          <w:tcPr>
            <w:tcW w:w="1814"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2,067</w:t>
            </w:r>
          </w:p>
        </w:tc>
        <w:tc>
          <w:tcPr>
            <w:tcW w:w="1814"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417</w:t>
            </w:r>
          </w:p>
        </w:tc>
        <w:tc>
          <w:tcPr>
            <w:tcW w:w="1814" w:type="dxa"/>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sz w:val="20"/>
                <w:szCs w:val="20"/>
              </w:rPr>
            </w:pPr>
            <w:r>
              <w:rPr>
                <w:rFonts w:hint="default" w:ascii="Times New Roman" w:hAnsi="Times New Roman" w:eastAsia="宋体"/>
                <w:sz w:val="20"/>
                <w:szCs w:val="20"/>
              </w:rPr>
              <w:t>395</w:t>
            </w:r>
          </w:p>
        </w:tc>
      </w:tr>
    </w:tbl>
    <w:p>
      <w:pPr>
        <w:keepNext w:val="0"/>
        <w:keepLines w:val="0"/>
        <w:pageBreakBefore w:val="0"/>
        <w:kinsoku/>
        <w:wordWrap/>
        <w:overflowPunct/>
        <w:topLinePunct w:val="0"/>
        <w:autoSpaceDE w:val="0"/>
        <w:autoSpaceDN w:val="0"/>
        <w:bidi w:val="0"/>
        <w:snapToGrid/>
        <w:spacing w:line="360" w:lineRule="auto"/>
        <w:jc w:val="left"/>
        <w:textAlignment w:val="auto"/>
        <w:rPr>
          <w:rFonts w:hint="eastAsia" w:ascii="Times New Roman" w:hAnsi="Times New Roman" w:eastAsia="宋体"/>
          <w:sz w:val="21"/>
          <w:szCs w:val="21"/>
          <w:lang w:val="en-US" w:eastAsia="zh-CN"/>
        </w:rPr>
      </w:pPr>
    </w:p>
    <w:p>
      <w:pPr>
        <w:pStyle w:val="41"/>
        <w:keepNext w:val="0"/>
        <w:keepLines w:val="0"/>
        <w:pageBreakBefore w:val="0"/>
        <w:kinsoku/>
        <w:wordWrap/>
        <w:overflowPunct/>
        <w:topLinePunct w:val="0"/>
        <w:bidi w:val="0"/>
        <w:snapToGrid/>
        <w:spacing w:line="360" w:lineRule="auto"/>
        <w:ind w:firstLine="482"/>
        <w:textAlignment w:val="auto"/>
        <w:rPr>
          <w:rFonts w:hint="eastAsia" w:ascii="黑体" w:hAnsi="黑体" w:eastAsia="黑体" w:cs="黑体"/>
          <w:b w:val="0"/>
          <w:bCs w:val="0"/>
          <w:sz w:val="21"/>
          <w:szCs w:val="21"/>
          <w:lang w:val="en-US" w:eastAsia="zh-CN"/>
        </w:rPr>
      </w:pPr>
      <w:bookmarkStart w:id="18" w:name="_Toc12152"/>
      <w:r>
        <w:rPr>
          <w:rFonts w:hint="eastAsia" w:ascii="黑体" w:hAnsi="黑体" w:eastAsia="黑体" w:cs="黑体"/>
          <w:b w:val="0"/>
          <w:bCs w:val="0"/>
          <w:sz w:val="21"/>
          <w:szCs w:val="21"/>
          <w:lang w:val="en-US" w:eastAsia="zh-CN"/>
        </w:rPr>
        <w:t>2</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产权性质异质性</w:t>
      </w:r>
      <w:bookmarkEnd w:id="18"/>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在我国的经济市场中，国有企业和民营企业的地位存在着较大的差异。一般来说，国有企业规模较大，资金较为充裕，且有政府的公信力作为担保，容易得到商业银行的信贷支持，</w:t>
      </w:r>
      <w:r>
        <w:rPr>
          <w:rFonts w:hint="eastAsia"/>
          <w:sz w:val="21"/>
          <w:szCs w:val="21"/>
          <w:lang w:val="en-US" w:eastAsia="zh-CN"/>
        </w:rPr>
        <w:t>而</w:t>
      </w:r>
      <w:r>
        <w:rPr>
          <w:rFonts w:hint="eastAsia" w:ascii="Times New Roman" w:hAnsi="Times New Roman" w:eastAsia="宋体"/>
          <w:sz w:val="21"/>
          <w:szCs w:val="21"/>
          <w:lang w:val="en-US" w:eastAsia="zh-CN"/>
        </w:rPr>
        <w:t>民营企业</w:t>
      </w:r>
      <w:r>
        <w:rPr>
          <w:rFonts w:hint="eastAsia"/>
          <w:sz w:val="21"/>
          <w:szCs w:val="21"/>
          <w:lang w:val="en-US" w:eastAsia="zh-CN"/>
        </w:rPr>
        <w:t>获得</w:t>
      </w:r>
      <w:r>
        <w:rPr>
          <w:rFonts w:hint="eastAsia" w:ascii="Times New Roman" w:hAnsi="Times New Roman" w:eastAsia="宋体"/>
          <w:sz w:val="21"/>
          <w:szCs w:val="21"/>
          <w:lang w:val="en-US" w:eastAsia="zh-CN"/>
        </w:rPr>
        <w:t>银行信贷</w:t>
      </w:r>
      <w:r>
        <w:rPr>
          <w:rFonts w:hint="eastAsia"/>
          <w:sz w:val="21"/>
          <w:szCs w:val="21"/>
          <w:lang w:val="en-US" w:eastAsia="zh-CN"/>
        </w:rPr>
        <w:t>的难度则较大</w:t>
      </w:r>
      <w:r>
        <w:rPr>
          <w:rFonts w:hint="eastAsia" w:ascii="Times New Roman" w:hAnsi="Times New Roman" w:eastAsia="宋体"/>
          <w:sz w:val="21"/>
          <w:szCs w:val="21"/>
          <w:lang w:val="en-US" w:eastAsia="zh-CN"/>
        </w:rPr>
        <w:t>。因此，本文根据企业的产权性质将样本划分为国有企业和非国有企业，并分别对两组样本采用式（1）的方法进行回归，回归结果如表</w:t>
      </w:r>
      <w:r>
        <w:rPr>
          <w:rFonts w:hint="eastAsia"/>
          <w:sz w:val="21"/>
          <w:szCs w:val="21"/>
          <w:lang w:val="en-US" w:eastAsia="zh-CN"/>
        </w:rPr>
        <w:t>8</w:t>
      </w:r>
      <w:r>
        <w:rPr>
          <w:rFonts w:hint="eastAsia" w:ascii="Times New Roman" w:hAnsi="Times New Roman" w:eastAsia="宋体"/>
          <w:sz w:val="21"/>
          <w:szCs w:val="21"/>
          <w:lang w:val="en-US" w:eastAsia="zh-CN"/>
        </w:rPr>
        <w:t>列（1）、（2）所示。根据表中的结果，绿色信贷政策显著促进了非国有企业的绿色技术创新，而对国有企业绿色技术创新的影响不显著。可能的原因是，相对于国有企业，非国有企业本身就面临更强的融资约束，绿色信贷政策的提出进一步限制了非国企的融资途径，倒逼企业进行绿色技术创新，从而获得更多的发展资金。而国有企业由于其本身就受到各类贷款的政策优惠，绿色信贷对国有企业资金的限制作用有限，从而无法倒逼它进行绿色技术创新。</w:t>
      </w:r>
    </w:p>
    <w:p>
      <w:pPr>
        <w:pStyle w:val="41"/>
        <w:keepNext w:val="0"/>
        <w:keepLines w:val="0"/>
        <w:pageBreakBefore w:val="0"/>
        <w:kinsoku/>
        <w:wordWrap/>
        <w:overflowPunct/>
        <w:topLinePunct w:val="0"/>
        <w:bidi w:val="0"/>
        <w:snapToGrid/>
        <w:spacing w:line="360" w:lineRule="auto"/>
        <w:ind w:firstLine="482"/>
        <w:textAlignment w:val="auto"/>
        <w:rPr>
          <w:rFonts w:hint="eastAsia" w:ascii="黑体" w:hAnsi="黑体" w:eastAsia="黑体" w:cs="黑体"/>
          <w:b w:val="0"/>
          <w:bCs w:val="0"/>
          <w:sz w:val="21"/>
          <w:szCs w:val="21"/>
          <w:lang w:val="en-US" w:eastAsia="zh-CN"/>
        </w:rPr>
      </w:pPr>
      <w:bookmarkStart w:id="19" w:name="_Toc18664"/>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企业规模异质性</w:t>
      </w:r>
      <w:bookmarkEnd w:id="19"/>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一般来说，企业规模越大，其拥有的财力就越丰厚，可以调用的资金量也就越多，因此，对于绿色信贷政策实施后面临的融资约束问题，不同规模的企业往往会采取不同的做法。本文以企业规模（</w:t>
      </w:r>
      <w:r>
        <w:rPr>
          <w:rFonts w:hint="eastAsia"/>
          <w:i/>
          <w:sz w:val="21"/>
          <w:szCs w:val="21"/>
          <w:lang w:val="en-US" w:eastAsia="zh-CN"/>
        </w:rPr>
        <w:t>Size</w:t>
      </w:r>
      <w:r>
        <w:rPr>
          <w:rFonts w:hint="eastAsia" w:ascii="Times New Roman" w:hAnsi="Times New Roman" w:eastAsia="宋体"/>
          <w:sz w:val="21"/>
          <w:szCs w:val="21"/>
          <w:lang w:val="en-US" w:eastAsia="zh-CN"/>
        </w:rPr>
        <w:t>）样本的中位数为划分标准，将样本企业分为大规模企业和小规模企业两个子样本，并分别按照式（1）的方法进行回归，回归结果如表</w:t>
      </w:r>
      <w:r>
        <w:rPr>
          <w:rFonts w:hint="eastAsia"/>
          <w:sz w:val="21"/>
          <w:szCs w:val="21"/>
          <w:lang w:val="en-US" w:eastAsia="zh-CN"/>
        </w:rPr>
        <w:t>8</w:t>
      </w:r>
      <w:r>
        <w:rPr>
          <w:rFonts w:hint="eastAsia" w:ascii="Times New Roman" w:hAnsi="Times New Roman" w:eastAsia="宋体"/>
          <w:sz w:val="21"/>
          <w:szCs w:val="21"/>
          <w:lang w:val="en-US" w:eastAsia="zh-CN"/>
        </w:rPr>
        <w:t>列（3）、（4）所示。根据表中的结果，绿色信贷政策主要促进了小规模企业的绿色技术创新，而对大规模企业的绿色技术创新的影响不显著。可能的原因是，相对于大规模企业，小规模企业更加依赖银行的贷款融资，绿色信贷限制政策实施以后，对小规模的企业的影响较强，倒逼小规模企业进行绿色技术创新。</w:t>
      </w:r>
    </w:p>
    <w:p>
      <w:pPr>
        <w:keepNext w:val="0"/>
        <w:keepLines w:val="0"/>
        <w:pageBreakBefore w:val="0"/>
        <w:kinsoku/>
        <w:wordWrap/>
        <w:overflowPunct/>
        <w:topLinePunct w:val="0"/>
        <w:autoSpaceDE w:val="0"/>
        <w:autoSpaceDN w:val="0"/>
        <w:bidi w:val="0"/>
        <w:snapToGrid/>
        <w:spacing w:line="360" w:lineRule="auto"/>
        <w:ind w:firstLine="420" w:firstLineChars="200"/>
        <w:jc w:val="left"/>
        <w:textAlignment w:val="auto"/>
        <w:rPr>
          <w:rFonts w:hint="eastAsia" w:ascii="Times New Roman" w:hAnsi="Times New Roman" w:eastAsia="宋体"/>
          <w:sz w:val="21"/>
          <w:szCs w:val="21"/>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表8 产权性质和企业规模异质性检验结果</w:t>
      </w:r>
    </w:p>
    <w:tbl>
      <w:tblPr>
        <w:tblStyle w:val="19"/>
        <w:tblW w:w="0" w:type="auto"/>
        <w:jc w:val="center"/>
        <w:tblLayout w:type="fixed"/>
        <w:tblCellMar>
          <w:top w:w="0" w:type="dxa"/>
          <w:left w:w="108" w:type="dxa"/>
          <w:bottom w:w="0" w:type="dxa"/>
          <w:right w:w="108" w:type="dxa"/>
        </w:tblCellMar>
      </w:tblPr>
      <w:tblGrid>
        <w:gridCol w:w="1947"/>
        <w:gridCol w:w="1584"/>
        <w:gridCol w:w="1584"/>
        <w:gridCol w:w="1584"/>
        <w:gridCol w:w="1584"/>
      </w:tblGrid>
      <w:tr>
        <w:tblPrEx>
          <w:tblCellMar>
            <w:top w:w="0" w:type="dxa"/>
            <w:left w:w="108" w:type="dxa"/>
            <w:bottom w:w="0" w:type="dxa"/>
            <w:right w:w="108" w:type="dxa"/>
          </w:tblCellMar>
        </w:tblPrEx>
        <w:trPr>
          <w:jc w:val="center"/>
        </w:trPr>
        <w:tc>
          <w:tcPr>
            <w:tcW w:w="1947"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w:t>
            </w:r>
          </w:p>
        </w:tc>
        <w:tc>
          <w:tcPr>
            <w:tcW w:w="158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w:t>
            </w:r>
          </w:p>
        </w:tc>
        <w:tc>
          <w:tcPr>
            <w:tcW w:w="158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w:t>
            </w:r>
          </w:p>
        </w:tc>
        <w:tc>
          <w:tcPr>
            <w:tcW w:w="1584" w:type="dxa"/>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w:t>
            </w:r>
          </w:p>
        </w:tc>
      </w:tr>
      <w:tr>
        <w:tblPrEx>
          <w:tblCellMar>
            <w:top w:w="0" w:type="dxa"/>
            <w:left w:w="108" w:type="dxa"/>
            <w:bottom w:w="0" w:type="dxa"/>
            <w:right w:w="108" w:type="dxa"/>
          </w:tblCellMar>
        </w:tblPrEx>
        <w:trPr>
          <w:jc w:val="center"/>
        </w:trPr>
        <w:tc>
          <w:tcPr>
            <w:tcW w:w="1947"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国企</w:t>
            </w:r>
          </w:p>
        </w:tc>
        <w:tc>
          <w:tcPr>
            <w:tcW w:w="15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非国企</w:t>
            </w:r>
          </w:p>
        </w:tc>
        <w:tc>
          <w:tcPr>
            <w:tcW w:w="15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大规模</w:t>
            </w:r>
          </w:p>
        </w:tc>
        <w:tc>
          <w:tcPr>
            <w:tcW w:w="15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小规模</w:t>
            </w:r>
          </w:p>
        </w:tc>
      </w:tr>
      <w:tr>
        <w:tblPrEx>
          <w:tblCellMar>
            <w:top w:w="0" w:type="dxa"/>
            <w:left w:w="108" w:type="dxa"/>
            <w:bottom w:w="0" w:type="dxa"/>
            <w:right w:w="108" w:type="dxa"/>
          </w:tblCellMar>
        </w:tblPrEx>
        <w:trPr>
          <w:jc w:val="center"/>
        </w:trPr>
        <w:tc>
          <w:tcPr>
            <w:tcW w:w="1947"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VARIABLES</w:t>
            </w:r>
          </w:p>
        </w:tc>
        <w:tc>
          <w:tcPr>
            <w:tcW w:w="158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c>
          <w:tcPr>
            <w:tcW w:w="158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c>
          <w:tcPr>
            <w:tcW w:w="158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c>
          <w:tcPr>
            <w:tcW w:w="1584" w:type="dxa"/>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Patent</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Treat×Post</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0.0394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0.2817***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0.0216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0.3604***</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(0.6902)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(3.2913)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(0.3703)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(2.9312)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Lev</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0.0703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-0.0464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-0.0575</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-0.1017*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(0.9157)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(-0.8629)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(-0.6811)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(-1.7999)</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Size</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0.0531***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0.1051***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0.0978***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0.1283***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(2.8600)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(7.5543)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(4.2493)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(6.5536)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Age</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0.1184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-0.0197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0.0252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-0.0276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(1.1105)</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(-0.3163)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(0.2611)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(-0.3660)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ROA</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0.0746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0.1544*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0.4604***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-0.1011</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(0.4972)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(1.6822)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(3.3089)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(-1.0817)</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Growth</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-0.0337*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-0.0493***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-0.0113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-0.0360**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(-1.7030)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(-3.4296)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(-0.6348)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(-2.2656)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Board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0.0769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0.0663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0.0930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0.0775</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(1.2477)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(1.3826)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(1.4999)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(1.5243)</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Top1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-0.0039***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0.0004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-0.0018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0.0010</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(-3.3707)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(0.3984)</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(-1.4879)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(0.8616)</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Constant</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-1.0642**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-1.9783***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-2.1588***</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-2.4499***</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(-2.0356)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(-5.2091)</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(-3.1950)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(-5.3182)</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Ind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Firm</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0"/>
                <w:szCs w:val="20"/>
                <w:lang w:eastAsia="zh-CN"/>
              </w:rPr>
            </w:pPr>
            <w:r>
              <w:rPr>
                <w:rFonts w:hint="eastAsia"/>
                <w:i/>
                <w:sz w:val="20"/>
                <w:szCs w:val="20"/>
                <w:lang w:eastAsia="zh-CN"/>
              </w:rPr>
              <w:t>Year</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hint="eastAsia" w:ascii="Times New Roman" w:hAnsi="Times New Roman" w:eastAsia="宋体"/>
                <w:sz w:val="20"/>
                <w:szCs w:val="20"/>
              </w:rPr>
              <w:t>是</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Observations</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7,717</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14,136</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10,909</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10,944</w:t>
            </w:r>
          </w:p>
        </w:tc>
      </w:tr>
      <w:tr>
        <w:tblPrEx>
          <w:tblCellMar>
            <w:top w:w="0" w:type="dxa"/>
            <w:left w:w="108" w:type="dxa"/>
            <w:bottom w:w="0" w:type="dxa"/>
            <w:right w:w="108" w:type="dxa"/>
          </w:tblCellMar>
        </w:tblPrEx>
        <w:trPr>
          <w:jc w:val="center"/>
        </w:trPr>
        <w:tc>
          <w:tcPr>
            <w:tcW w:w="1947"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R-squared</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0.0543</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0.0410</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0.0512</w:t>
            </w:r>
          </w:p>
        </w:tc>
        <w:tc>
          <w:tcPr>
            <w:tcW w:w="1584" w:type="dxa"/>
            <w:tcBorders>
              <w:top w:val="nil"/>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0.0271</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7"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Number of id</w:t>
            </w:r>
          </w:p>
        </w:tc>
        <w:tc>
          <w:tcPr>
            <w:tcW w:w="158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1,022</w:t>
            </w:r>
          </w:p>
        </w:tc>
        <w:tc>
          <w:tcPr>
            <w:tcW w:w="158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1,964</w:t>
            </w:r>
          </w:p>
        </w:tc>
        <w:tc>
          <w:tcPr>
            <w:tcW w:w="158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1,961</w:t>
            </w:r>
          </w:p>
        </w:tc>
        <w:tc>
          <w:tcPr>
            <w:tcW w:w="158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0"/>
                <w:szCs w:val="20"/>
              </w:rPr>
            </w:pPr>
            <w:r>
              <w:rPr>
                <w:rFonts w:ascii="Times New Roman" w:hAnsi="Times New Roman" w:eastAsia="宋体"/>
                <w:sz w:val="20"/>
                <w:szCs w:val="20"/>
              </w:rPr>
              <w:t>2,119</w:t>
            </w:r>
          </w:p>
        </w:tc>
      </w:tr>
    </w:tbl>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imes New Roman" w:hAnsi="Times New Roman" w:eastAsia="宋体" w:cs="宋体"/>
          <w:color w:val="000000"/>
          <w:kern w:val="0"/>
          <w:sz w:val="21"/>
          <w:szCs w:val="21"/>
          <w:lang w:val="en-US" w:eastAsia="zh-CN"/>
        </w:rPr>
      </w:pPr>
    </w:p>
    <w:p>
      <w:pPr>
        <w:pStyle w:val="39"/>
        <w:bidi w:val="0"/>
        <w:rPr>
          <w:rFonts w:hint="default"/>
          <w:sz w:val="28"/>
          <w:szCs w:val="28"/>
          <w:lang w:val="en-US"/>
        </w:rPr>
      </w:pPr>
      <w:bookmarkStart w:id="20" w:name="_Toc13546"/>
      <w:r>
        <w:rPr>
          <w:rFonts w:hint="eastAsia"/>
          <w:sz w:val="28"/>
          <w:szCs w:val="28"/>
          <w:lang w:val="en-US" w:eastAsia="zh-CN"/>
        </w:rPr>
        <w:t>五、研究</w:t>
      </w:r>
      <w:r>
        <w:rPr>
          <w:rFonts w:hint="eastAsia"/>
          <w:sz w:val="28"/>
          <w:szCs w:val="28"/>
        </w:rPr>
        <w:t>结论与</w:t>
      </w:r>
      <w:bookmarkEnd w:id="20"/>
      <w:r>
        <w:rPr>
          <w:rFonts w:hint="eastAsia"/>
          <w:sz w:val="28"/>
          <w:szCs w:val="28"/>
          <w:lang w:val="en-US" w:eastAsia="zh-CN"/>
        </w:rPr>
        <w:t>政策建议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rPr>
        <w:t>本文以2009—2020年A股上市公司为研究样本，将2012年发布的《绿色信贷指引》作为准自然实验，选择双重差分模型进行实证分析，研究绿色信贷政策对于企业绿色技术创新的影响，</w:t>
      </w:r>
      <w:r>
        <w:rPr>
          <w:rFonts w:hint="eastAsia"/>
          <w:sz w:val="21"/>
          <w:szCs w:val="21"/>
          <w:lang w:val="en-US" w:eastAsia="zh-CN"/>
        </w:rPr>
        <w:t>得出如下结论：</w:t>
      </w:r>
      <w:r>
        <w:rPr>
          <w:rFonts w:hint="eastAsia"/>
          <w:sz w:val="21"/>
          <w:szCs w:val="21"/>
          <w:lang w:val="zh-CN"/>
        </w:rPr>
        <w:t>绿色信贷政策</w:t>
      </w:r>
      <w:r>
        <w:rPr>
          <w:rFonts w:hint="eastAsia"/>
          <w:sz w:val="21"/>
          <w:szCs w:val="21"/>
          <w:lang w:val="en-US" w:eastAsia="zh-CN"/>
        </w:rPr>
        <w:t>有助于</w:t>
      </w:r>
      <w:r>
        <w:rPr>
          <w:rFonts w:hint="eastAsia"/>
          <w:sz w:val="21"/>
          <w:szCs w:val="21"/>
          <w:lang w:val="zh-CN"/>
        </w:rPr>
        <w:t>企业</w:t>
      </w:r>
      <w:r>
        <w:rPr>
          <w:rFonts w:hint="eastAsia"/>
          <w:sz w:val="21"/>
          <w:szCs w:val="21"/>
          <w:lang w:val="en-US" w:eastAsia="zh-CN"/>
        </w:rPr>
        <w:t>的</w:t>
      </w:r>
      <w:r>
        <w:rPr>
          <w:rFonts w:hint="eastAsia"/>
          <w:sz w:val="21"/>
          <w:szCs w:val="21"/>
          <w:lang w:val="zh-CN"/>
        </w:rPr>
        <w:t>绿色技术创新，</w:t>
      </w:r>
      <w:r>
        <w:rPr>
          <w:rFonts w:hint="eastAsia"/>
          <w:sz w:val="21"/>
          <w:szCs w:val="21"/>
          <w:lang w:val="en-US" w:eastAsia="zh-CN"/>
        </w:rPr>
        <w:t>且</w:t>
      </w:r>
      <w:r>
        <w:rPr>
          <w:rFonts w:hint="eastAsia"/>
          <w:sz w:val="21"/>
          <w:szCs w:val="21"/>
          <w:lang w:val="zh-CN"/>
        </w:rPr>
        <w:t>对重污染企业的促进作用更为显著。</w:t>
      </w:r>
      <w:r>
        <w:rPr>
          <w:rFonts w:hint="eastAsia"/>
          <w:sz w:val="21"/>
          <w:szCs w:val="21"/>
          <w:lang w:val="en-US" w:eastAsia="zh-CN"/>
        </w:rPr>
        <w:t>实验结论在</w:t>
      </w:r>
      <w:r>
        <w:rPr>
          <w:rFonts w:hint="eastAsia"/>
          <w:sz w:val="21"/>
          <w:szCs w:val="21"/>
          <w:lang w:val="zh-CN"/>
        </w:rPr>
        <w:t>经过平行趋势检验</w:t>
      </w:r>
      <w:r>
        <w:rPr>
          <w:rFonts w:hint="eastAsia"/>
          <w:sz w:val="21"/>
          <w:szCs w:val="21"/>
          <w:lang w:val="en-US" w:eastAsia="zh-CN"/>
        </w:rPr>
        <w:t>和</w:t>
      </w:r>
      <w:r>
        <w:rPr>
          <w:rFonts w:hint="eastAsia"/>
          <w:sz w:val="21"/>
          <w:szCs w:val="21"/>
          <w:lang w:val="zh-CN"/>
        </w:rPr>
        <w:t>稳健性检验之后依然成立。</w:t>
      </w:r>
      <w:r>
        <w:rPr>
          <w:rFonts w:hint="eastAsia"/>
          <w:sz w:val="21"/>
          <w:szCs w:val="21"/>
          <w:lang w:val="en-US" w:eastAsia="zh-CN"/>
        </w:rPr>
        <w:t>与此同时，</w:t>
      </w:r>
      <w:r>
        <w:rPr>
          <w:rFonts w:hint="eastAsia"/>
          <w:sz w:val="21"/>
          <w:szCs w:val="21"/>
          <w:lang w:val="zh-CN"/>
        </w:rPr>
        <w:t>绿色信贷政策</w:t>
      </w:r>
      <w:r>
        <w:rPr>
          <w:rFonts w:hint="eastAsia"/>
          <w:sz w:val="21"/>
          <w:szCs w:val="21"/>
          <w:lang w:val="en-US" w:eastAsia="zh-CN"/>
        </w:rPr>
        <w:t>的</w:t>
      </w:r>
      <w:r>
        <w:rPr>
          <w:rFonts w:hint="eastAsia"/>
          <w:sz w:val="21"/>
          <w:szCs w:val="21"/>
          <w:lang w:val="zh-CN"/>
        </w:rPr>
        <w:t>实施效果</w:t>
      </w:r>
      <w:r>
        <w:rPr>
          <w:rFonts w:hint="eastAsia"/>
          <w:sz w:val="21"/>
          <w:szCs w:val="21"/>
          <w:lang w:val="en-US" w:eastAsia="zh-CN"/>
        </w:rPr>
        <w:t>在</w:t>
      </w:r>
      <w:r>
        <w:rPr>
          <w:rFonts w:hint="eastAsia"/>
          <w:sz w:val="21"/>
          <w:szCs w:val="21"/>
          <w:lang w:val="zh-CN"/>
        </w:rPr>
        <w:t>不同地区、不同产权性质、不同规模</w:t>
      </w:r>
      <w:r>
        <w:rPr>
          <w:rFonts w:hint="eastAsia"/>
          <w:sz w:val="21"/>
          <w:szCs w:val="21"/>
          <w:lang w:val="en-US" w:eastAsia="zh-CN"/>
        </w:rPr>
        <w:t>的</w:t>
      </w:r>
      <w:r>
        <w:rPr>
          <w:rFonts w:hint="eastAsia"/>
          <w:sz w:val="21"/>
          <w:szCs w:val="21"/>
          <w:lang w:val="zh-CN"/>
        </w:rPr>
        <w:t>企业之间</w:t>
      </w:r>
      <w:r>
        <w:rPr>
          <w:rFonts w:hint="eastAsia"/>
          <w:sz w:val="21"/>
          <w:szCs w:val="21"/>
          <w:lang w:val="en-US" w:eastAsia="zh-CN"/>
        </w:rPr>
        <w:t>存在</w:t>
      </w:r>
      <w:r>
        <w:rPr>
          <w:rFonts w:hint="eastAsia"/>
          <w:sz w:val="21"/>
          <w:szCs w:val="21"/>
          <w:lang w:val="zh-CN"/>
        </w:rPr>
        <w:t>异质性，东部地区企业、非国有企业、小规模企业受到绿色信贷政策的影响较大，显著提升了绿色技术创新水平，</w:t>
      </w:r>
      <w:r>
        <w:rPr>
          <w:rFonts w:hint="eastAsia"/>
          <w:sz w:val="21"/>
          <w:szCs w:val="21"/>
          <w:lang w:val="en-US" w:eastAsia="zh-CN"/>
        </w:rPr>
        <w:t>而中西部地区企业、国有企业和大规模企业的绿色技术创新受绿色信贷政策的影响则不显著。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通过以上结论可以得知，</w:t>
      </w:r>
      <w:r>
        <w:rPr>
          <w:rFonts w:hint="eastAsia"/>
          <w:sz w:val="21"/>
          <w:szCs w:val="21"/>
          <w:lang w:val="zh-CN"/>
        </w:rPr>
        <w:t>我国的绿色信贷</w:t>
      </w:r>
      <w:r>
        <w:rPr>
          <w:rFonts w:hint="eastAsia"/>
          <w:sz w:val="21"/>
          <w:szCs w:val="21"/>
          <w:lang w:val="en-US" w:eastAsia="zh-CN"/>
        </w:rPr>
        <w:t>正</w:t>
      </w:r>
      <w:r>
        <w:rPr>
          <w:rFonts w:hint="eastAsia"/>
          <w:sz w:val="21"/>
          <w:szCs w:val="21"/>
          <w:lang w:val="zh-CN"/>
        </w:rPr>
        <w:t>处</w:t>
      </w:r>
      <w:r>
        <w:rPr>
          <w:rFonts w:hint="eastAsia"/>
          <w:sz w:val="21"/>
          <w:szCs w:val="21"/>
          <w:lang w:val="en-US" w:eastAsia="zh-CN"/>
        </w:rPr>
        <w:t>在初级</w:t>
      </w:r>
      <w:r>
        <w:rPr>
          <w:rFonts w:hint="eastAsia"/>
          <w:sz w:val="21"/>
          <w:szCs w:val="21"/>
          <w:lang w:val="zh-CN"/>
        </w:rPr>
        <w:t>发展阶段，</w:t>
      </w:r>
      <w:r>
        <w:rPr>
          <w:rFonts w:hint="eastAsia"/>
          <w:sz w:val="21"/>
          <w:szCs w:val="21"/>
          <w:lang w:val="en-US" w:eastAsia="zh-CN"/>
        </w:rPr>
        <w:t>虽然有助于企业的绿色技术创新，但实施效果仍有许多不足之处。</w:t>
      </w:r>
      <w:r>
        <w:rPr>
          <w:rFonts w:hint="eastAsia"/>
          <w:sz w:val="21"/>
          <w:szCs w:val="21"/>
          <w:lang w:val="zh-CN"/>
        </w:rPr>
        <w:t>鉴于此，本文从政府、银行和企业三个层面入手，提出以下建议，</w:t>
      </w:r>
      <w:r>
        <w:rPr>
          <w:rFonts w:hint="eastAsia"/>
          <w:sz w:val="21"/>
          <w:szCs w:val="21"/>
          <w:lang w:val="en-US" w:eastAsia="zh-CN"/>
        </w:rPr>
        <w:t>以期助力绿色信贷的发展和完善。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zh-CN"/>
        </w:rPr>
        <w:t>第一，对政府来说，需要不断完善绿色信贷相关政策，并增强政策的实施力度和效度。具体来说，政府</w:t>
      </w:r>
      <w:r>
        <w:rPr>
          <w:rFonts w:hint="eastAsia"/>
          <w:sz w:val="21"/>
          <w:szCs w:val="21"/>
          <w:lang w:val="en-US" w:eastAsia="zh-CN"/>
        </w:rPr>
        <w:t>应</w:t>
      </w:r>
      <w:r>
        <w:rPr>
          <w:rFonts w:hint="eastAsia"/>
          <w:sz w:val="21"/>
          <w:szCs w:val="21"/>
          <w:lang w:val="zh-CN"/>
        </w:rPr>
        <w:t>遵循规范化、具体化、可操作化的原则对绿色信贷政策进行修改</w:t>
      </w:r>
      <w:r>
        <w:rPr>
          <w:rFonts w:hint="eastAsia"/>
          <w:sz w:val="21"/>
          <w:szCs w:val="21"/>
          <w:lang w:val="en-US" w:eastAsia="zh-CN"/>
        </w:rPr>
        <w:t>和</w:t>
      </w:r>
      <w:r>
        <w:rPr>
          <w:rFonts w:hint="eastAsia"/>
          <w:sz w:val="21"/>
          <w:szCs w:val="21"/>
          <w:lang w:val="zh-CN"/>
        </w:rPr>
        <w:t>制定，</w:t>
      </w:r>
      <w:r>
        <w:rPr>
          <w:rFonts w:hint="eastAsia"/>
          <w:sz w:val="21"/>
          <w:szCs w:val="21"/>
          <w:lang w:val="en-US" w:eastAsia="zh-CN"/>
        </w:rPr>
        <w:t>如针对不同行业制定不同的环境审核标准、完善环境信息披露机制等，</w:t>
      </w:r>
      <w:r>
        <w:rPr>
          <w:rFonts w:hint="eastAsia"/>
          <w:sz w:val="21"/>
          <w:szCs w:val="21"/>
          <w:lang w:val="zh-CN"/>
        </w:rPr>
        <w:t>不断提升绿色信贷的制度化水平。与此同时，政府需要加强对借贷过程的监督和指导，</w:t>
      </w:r>
      <w:r>
        <w:rPr>
          <w:rFonts w:hint="eastAsia"/>
          <w:sz w:val="21"/>
          <w:szCs w:val="21"/>
          <w:lang w:val="en-US" w:eastAsia="zh-CN"/>
        </w:rPr>
        <w:t>审查</w:t>
      </w:r>
      <w:r>
        <w:rPr>
          <w:rFonts w:hint="eastAsia"/>
          <w:sz w:val="21"/>
          <w:szCs w:val="21"/>
          <w:lang w:val="zh-CN"/>
        </w:rPr>
        <w:t>信贷资金的流向，督促银行严格遵守绿色信贷政策；鼓励中西部</w:t>
      </w:r>
      <w:r>
        <w:rPr>
          <w:rFonts w:hint="eastAsia"/>
          <w:sz w:val="21"/>
          <w:szCs w:val="21"/>
          <w:lang w:val="en-US" w:eastAsia="zh-CN"/>
        </w:rPr>
        <w:t>地区</w:t>
      </w:r>
      <w:r>
        <w:rPr>
          <w:rFonts w:hint="eastAsia"/>
          <w:sz w:val="21"/>
          <w:szCs w:val="21"/>
          <w:lang w:val="zh-CN"/>
        </w:rPr>
        <w:t>企业、</w:t>
      </w:r>
      <w:r>
        <w:rPr>
          <w:rFonts w:hint="eastAsia"/>
          <w:sz w:val="21"/>
          <w:szCs w:val="21"/>
          <w:lang w:val="en-US" w:eastAsia="zh-CN"/>
        </w:rPr>
        <w:t>国有企业和大规模企业</w:t>
      </w:r>
      <w:r>
        <w:rPr>
          <w:rFonts w:hint="eastAsia"/>
          <w:sz w:val="21"/>
          <w:szCs w:val="21"/>
          <w:lang w:val="zh-CN"/>
        </w:rPr>
        <w:t>进行绿色技术创新，</w:t>
      </w:r>
      <w:r>
        <w:rPr>
          <w:rFonts w:hint="eastAsia"/>
          <w:sz w:val="21"/>
          <w:szCs w:val="21"/>
          <w:lang w:val="en-US" w:eastAsia="zh-CN"/>
        </w:rPr>
        <w:t>对积极响应号召的企业给予相应的税收优惠和创新补助，利用企业追逐利润的本性发展绿色经济。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zh-CN"/>
        </w:rPr>
      </w:pPr>
      <w:r>
        <w:rPr>
          <w:rFonts w:hint="eastAsia"/>
          <w:sz w:val="21"/>
          <w:szCs w:val="21"/>
          <w:lang w:val="zh-CN"/>
        </w:rPr>
        <w:t>第二，对银行来说，</w:t>
      </w:r>
      <w:r>
        <w:rPr>
          <w:rFonts w:hint="eastAsia"/>
          <w:sz w:val="21"/>
          <w:szCs w:val="21"/>
          <w:lang w:val="en-US" w:eastAsia="zh-CN"/>
        </w:rPr>
        <w:t>需要增强其发放绿色信贷的主体作用，加快绿色金融业务的创新。商业银行是绿色信贷政策的实施者，首先需要严格遵守相关政策和法律法规，增强其服务经济社会可持续发展的主体意识，运用实际行动推广绿色信贷业务。其次，商业银行需要积极创新，开发出不同种类的绿色金融产品和服务，以更好面对市场上不同的经济主体，提供差异化服务，为企业的绿色技术创新和转型升级提供融资渠道。再者，商业银行也需要加强对绿色信贷资金的追踪和监管，确保绿色信贷用得其所，真正发挥出促进经济高质量发展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zh-CN"/>
        </w:rPr>
        <w:t>第三，对企业来说，</w:t>
      </w:r>
      <w:r>
        <w:rPr>
          <w:rFonts w:hint="eastAsia"/>
          <w:sz w:val="21"/>
          <w:szCs w:val="21"/>
          <w:lang w:val="en-US" w:eastAsia="zh-CN"/>
        </w:rPr>
        <w:t>需要积极响应绿色信贷政策，抓紧机遇实现转型升级和绿色发展。对于新兴环保企业，可以借助国家绿色信贷的支持，加速推进绿色技术创新。而对于从事高能耗、重污染行业的</w:t>
      </w:r>
      <w:r>
        <w:rPr>
          <w:rFonts w:hint="eastAsia"/>
          <w:sz w:val="21"/>
          <w:szCs w:val="21"/>
          <w:lang w:val="zh-CN"/>
        </w:rPr>
        <w:t>中西部</w:t>
      </w:r>
      <w:r>
        <w:rPr>
          <w:rFonts w:hint="eastAsia"/>
          <w:sz w:val="21"/>
          <w:szCs w:val="21"/>
          <w:lang w:val="en-US" w:eastAsia="zh-CN"/>
        </w:rPr>
        <w:t>地区</w:t>
      </w:r>
      <w:r>
        <w:rPr>
          <w:rFonts w:hint="eastAsia"/>
          <w:sz w:val="21"/>
          <w:szCs w:val="21"/>
          <w:lang w:val="zh-CN"/>
        </w:rPr>
        <w:t>企业、</w:t>
      </w:r>
      <w:r>
        <w:rPr>
          <w:rFonts w:hint="eastAsia"/>
          <w:sz w:val="21"/>
          <w:szCs w:val="21"/>
          <w:lang w:val="en-US" w:eastAsia="zh-CN"/>
        </w:rPr>
        <w:t>国有企业和大规模企业来说，则需要主动采取行动，抓紧调整发展模式，努力提高绿色技术创新水平，以实现自身的转型升级与可持续发展。</w:t>
      </w:r>
      <w:bookmarkStart w:id="21" w:name="_Toc6344"/>
    </w:p>
    <w:p>
      <w:pPr>
        <w:pStyle w:val="35"/>
        <w:keepNext w:val="0"/>
        <w:keepLines w:val="0"/>
        <w:pageBreakBefore w:val="0"/>
        <w:kinsoku/>
        <w:wordWrap/>
        <w:overflowPunct/>
        <w:topLinePunct w:val="0"/>
        <w:bidi w:val="0"/>
        <w:snapToGrid/>
        <w:spacing w:line="360" w:lineRule="auto"/>
        <w:textAlignment w:val="auto"/>
        <w:rPr>
          <w:rFonts w:hint="eastAsia" w:ascii="Times New Roman" w:hAnsi="Times New Roman" w:eastAsia="宋体"/>
          <w:sz w:val="21"/>
          <w:szCs w:val="21"/>
          <w:lang w:val="en-US" w:eastAsia="zh-CN"/>
        </w:rPr>
      </w:pPr>
    </w:p>
    <w:p>
      <w:pPr>
        <w:pStyle w:val="39"/>
        <w:bidi w:val="0"/>
        <w:jc w:val="left"/>
        <w:rPr>
          <w:rFonts w:hint="eastAsia" w:ascii="宋体" w:hAnsi="宋体" w:eastAsia="宋体" w:cs="宋体"/>
          <w:sz w:val="21"/>
          <w:szCs w:val="21"/>
          <w:lang w:val="en-US" w:eastAsia="zh-CN"/>
        </w:rPr>
      </w:pPr>
      <w:r>
        <w:rPr>
          <w:rFonts w:hint="eastAsia" w:ascii="宋体" w:hAnsi="宋体" w:eastAsia="宋体" w:cs="宋体"/>
          <w:sz w:val="21"/>
          <w:szCs w:val="21"/>
        </w:rPr>
        <w:t>参考文献</w:t>
      </w:r>
      <w:bookmarkEnd w:id="21"/>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rPr>
        <w:t>[1]</w:t>
      </w:r>
      <w:r>
        <w:rPr>
          <w:rFonts w:hint="eastAsia"/>
          <w:sz w:val="21"/>
          <w:szCs w:val="21"/>
          <w:lang w:val="en-US" w:eastAsia="zh-CN"/>
        </w:rPr>
        <w:t xml:space="preserve"> </w:t>
      </w:r>
      <w:r>
        <w:rPr>
          <w:rFonts w:hint="eastAsia" w:ascii="Times New Roman" w:hAnsi="Times New Roman" w:eastAsia="宋体"/>
          <w:sz w:val="21"/>
          <w:szCs w:val="21"/>
        </w:rPr>
        <w:t>Labatt,</w:t>
      </w:r>
      <w:r>
        <w:rPr>
          <w:rFonts w:hint="eastAsia"/>
          <w:sz w:val="21"/>
          <w:szCs w:val="21"/>
          <w:lang w:val="en-US" w:eastAsia="zh-CN"/>
        </w:rPr>
        <w:t xml:space="preserve"> </w:t>
      </w:r>
      <w:r>
        <w:rPr>
          <w:rFonts w:hint="eastAsia" w:ascii="Times New Roman" w:hAnsi="Times New Roman" w:eastAsia="宋体"/>
          <w:sz w:val="21"/>
          <w:szCs w:val="21"/>
        </w:rPr>
        <w:t>S</w:t>
      </w:r>
      <w:r>
        <w:rPr>
          <w:rFonts w:hint="eastAsia"/>
          <w:sz w:val="21"/>
          <w:szCs w:val="21"/>
          <w:lang w:val="en-US" w:eastAsia="zh-CN"/>
        </w:rPr>
        <w:t>.,</w:t>
      </w:r>
      <w:r>
        <w:rPr>
          <w:rFonts w:hint="eastAsia" w:ascii="Times New Roman" w:hAnsi="Times New Roman" w:eastAsia="宋体"/>
          <w:sz w:val="21"/>
          <w:szCs w:val="21"/>
        </w:rPr>
        <w:t xml:space="preserve"> </w:t>
      </w:r>
      <w:r>
        <w:rPr>
          <w:rFonts w:ascii="Times New Roman" w:hAnsi="Times New Roman"/>
        </w:rPr>
        <w:t>and</w:t>
      </w:r>
      <w:r>
        <w:rPr>
          <w:rFonts w:hint="eastAsia" w:ascii="Times New Roman" w:hAnsi="Times New Roman"/>
          <w:lang w:val="en-US" w:eastAsia="zh-CN"/>
        </w:rPr>
        <w:t xml:space="preserve"> </w:t>
      </w:r>
      <w:r>
        <w:rPr>
          <w:rFonts w:hint="eastAsia" w:ascii="Times New Roman" w:hAnsi="Times New Roman" w:eastAsia="宋体"/>
          <w:sz w:val="21"/>
          <w:szCs w:val="21"/>
        </w:rPr>
        <w:t>V</w:t>
      </w:r>
      <w:r>
        <w:rPr>
          <w:rFonts w:hint="eastAsia"/>
          <w:sz w:val="21"/>
          <w:szCs w:val="21"/>
          <w:lang w:val="en-US" w:eastAsia="zh-CN"/>
        </w:rPr>
        <w:t xml:space="preserve">. </w:t>
      </w:r>
      <w:r>
        <w:rPr>
          <w:rFonts w:hint="eastAsia" w:ascii="Times New Roman" w:hAnsi="Times New Roman" w:eastAsia="宋体"/>
          <w:sz w:val="21"/>
          <w:szCs w:val="21"/>
        </w:rPr>
        <w:t>W</w:t>
      </w:r>
      <w:r>
        <w:rPr>
          <w:rFonts w:hint="eastAsia"/>
          <w:sz w:val="21"/>
          <w:szCs w:val="21"/>
          <w:lang w:val="en-US" w:eastAsia="zh-CN"/>
        </w:rPr>
        <w:t>.</w:t>
      </w:r>
      <w:r>
        <w:rPr>
          <w:rFonts w:hint="eastAsia" w:ascii="Times New Roman" w:hAnsi="Times New Roman" w:eastAsia="宋体"/>
          <w:sz w:val="21"/>
          <w:szCs w:val="21"/>
        </w:rPr>
        <w:t xml:space="preserve"> Maclaren. Voluntary Corporate Environmental Initiatives: A Typology and Preliminary Investigation[J]. Environment and Planning C: Government and Policy,1998,16(2)</w:t>
      </w:r>
      <w:r>
        <w:rPr>
          <w:rFonts w:hint="eastAsia" w:ascii="Times New Roman" w:hAnsi="Times New Roman" w:eastAsia="宋体"/>
          <w:sz w:val="21"/>
          <w:szCs w:val="21"/>
          <w:lang w:val="en-US" w:eastAsia="zh-CN"/>
        </w:rPr>
        <w:t>:191-209.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Thompson</w:t>
      </w:r>
      <w:r>
        <w:rPr>
          <w:rFonts w:hint="eastAsia"/>
          <w:sz w:val="21"/>
          <w:szCs w:val="21"/>
          <w:lang w:val="en-US" w:eastAsia="zh-CN"/>
        </w:rPr>
        <w:t xml:space="preserve"> </w:t>
      </w:r>
      <w:r>
        <w:rPr>
          <w:rFonts w:hint="eastAsia" w:ascii="Times New Roman" w:hAnsi="Times New Roman" w:eastAsia="宋体"/>
          <w:sz w:val="21"/>
          <w:szCs w:val="21"/>
        </w:rPr>
        <w:t>P</w:t>
      </w:r>
      <w:r>
        <w:rPr>
          <w:rFonts w:hint="eastAsia"/>
          <w:sz w:val="21"/>
          <w:szCs w:val="21"/>
          <w:lang w:val="en-US" w:eastAsia="zh-CN"/>
        </w:rPr>
        <w:t>.</w:t>
      </w:r>
      <w:r>
        <w:rPr>
          <w:rFonts w:hint="eastAsia" w:ascii="Times New Roman" w:hAnsi="Times New Roman" w:eastAsia="宋体"/>
          <w:sz w:val="21"/>
          <w:szCs w:val="21"/>
        </w:rPr>
        <w:t>,</w:t>
      </w:r>
      <w:r>
        <w:rPr>
          <w:rFonts w:hint="eastAsia"/>
          <w:sz w:val="21"/>
          <w:szCs w:val="21"/>
          <w:lang w:val="en-US" w:eastAsia="zh-CN"/>
        </w:rPr>
        <w:t xml:space="preserve"> </w:t>
      </w:r>
      <w:r>
        <w:rPr>
          <w:rFonts w:ascii="Times New Roman" w:hAnsi="Times New Roman"/>
        </w:rPr>
        <w:t>and</w:t>
      </w:r>
      <w:r>
        <w:rPr>
          <w:rFonts w:hint="eastAsia" w:ascii="Times New Roman" w:hAnsi="Times New Roman"/>
          <w:lang w:val="en-US" w:eastAsia="zh-CN"/>
        </w:rPr>
        <w:t xml:space="preserve"> </w:t>
      </w:r>
      <w:r>
        <w:rPr>
          <w:rFonts w:hint="eastAsia" w:ascii="Times New Roman" w:hAnsi="Times New Roman" w:eastAsia="宋体"/>
          <w:sz w:val="21"/>
          <w:szCs w:val="21"/>
        </w:rPr>
        <w:t>C</w:t>
      </w:r>
      <w:r>
        <w:rPr>
          <w:rFonts w:hint="eastAsia"/>
          <w:sz w:val="21"/>
          <w:szCs w:val="21"/>
          <w:lang w:val="en-US" w:eastAsia="zh-CN"/>
        </w:rPr>
        <w:t>.</w:t>
      </w:r>
      <w:r>
        <w:rPr>
          <w:rFonts w:hint="eastAsia" w:ascii="Times New Roman" w:hAnsi="Times New Roman" w:eastAsia="宋体"/>
          <w:sz w:val="21"/>
          <w:szCs w:val="21"/>
        </w:rPr>
        <w:t xml:space="preserve"> J</w:t>
      </w:r>
      <w:r>
        <w:rPr>
          <w:rFonts w:hint="eastAsia"/>
          <w:sz w:val="21"/>
          <w:szCs w:val="21"/>
          <w:lang w:val="en-US" w:eastAsia="zh-CN"/>
        </w:rPr>
        <w:t>.</w:t>
      </w:r>
      <w:r>
        <w:rPr>
          <w:rFonts w:hint="eastAsia" w:ascii="Times New Roman" w:hAnsi="Times New Roman" w:eastAsia="宋体"/>
          <w:sz w:val="21"/>
          <w:szCs w:val="21"/>
        </w:rPr>
        <w:t xml:space="preserve"> Cowton. Bringing the environment into bank lending: implications for environmental reporting[J]. The British Accounting</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Review,2003,36(2)</w:t>
      </w:r>
      <w:r>
        <w:rPr>
          <w:rFonts w:hint="eastAsia" w:ascii="Times New Roman" w:hAnsi="Times New Roman" w:eastAsia="宋体"/>
          <w:sz w:val="21"/>
          <w:szCs w:val="21"/>
          <w:lang w:val="en-US" w:eastAsia="zh-CN"/>
        </w:rPr>
        <w:t>:197-218.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安伟.绿色金融的内涵、机理和实践初探[J].经济经纬,2008(05):156-158.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4</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何德旭,张雪兰.对我国商业银行推行绿色信贷若干问题的思考[J].上海金融,2007(12):4-9.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孙光林,王颖,李庆海.绿色信贷对商业银行信贷风险的影响[J].金融论坛,2017,22(10):31-40.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6</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何凌云,吴晨,钟章奇,祝婧然.绿色信贷、内外部政策及商业银行竞争力——基于9家上市商业银行的实证研究[J].金融经济学研究,2018,33(01):91-103.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7</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谢婷婷,刘锦华.绿色信贷如何影响中国绿色经济增长?[J].中国人口·资源与环境,2019,29(09):83-90.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8</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杨洋,魏江,罗来军.谁在利用政府补贴进行创新?——所有制和要素市场扭曲的联合调节效应[J].管理世界,2015(01):75-86+98+188.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9</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Droste</w:t>
      </w:r>
      <w:r>
        <w:rPr>
          <w:rFonts w:hint="eastAsia"/>
          <w:sz w:val="21"/>
          <w:szCs w:val="21"/>
          <w:lang w:val="en-US" w:eastAsia="zh-CN"/>
        </w:rPr>
        <w:t xml:space="preserve">, </w:t>
      </w:r>
      <w:r>
        <w:rPr>
          <w:rFonts w:hint="eastAsia" w:ascii="Times New Roman" w:hAnsi="Times New Roman" w:eastAsia="宋体"/>
          <w:sz w:val="21"/>
          <w:szCs w:val="21"/>
        </w:rPr>
        <w:t>N.,B. Hansjürgens,P. Kuikman,N. Otter,R. Antikainen,P. Leskinen,K. Pitkänen,L. Saikku,E. Loiseau,</w:t>
      </w:r>
      <w:r>
        <w:rPr>
          <w:rFonts w:hint="eastAsia"/>
          <w:sz w:val="21"/>
          <w:szCs w:val="21"/>
          <w:lang w:val="en-US" w:eastAsia="zh-CN"/>
        </w:rPr>
        <w:t xml:space="preserve"> </w:t>
      </w:r>
      <w:r>
        <w:rPr>
          <w:rFonts w:ascii="Times New Roman" w:hAnsi="Times New Roman"/>
        </w:rPr>
        <w:t>and</w:t>
      </w:r>
      <w:r>
        <w:rPr>
          <w:rFonts w:hint="eastAsia"/>
          <w:lang w:val="en-US" w:eastAsia="zh-CN"/>
        </w:rPr>
        <w:t xml:space="preserve"> </w:t>
      </w:r>
      <w:r>
        <w:rPr>
          <w:rFonts w:hint="eastAsia" w:ascii="Times New Roman" w:hAnsi="Times New Roman" w:eastAsia="宋体"/>
          <w:sz w:val="21"/>
          <w:szCs w:val="21"/>
        </w:rPr>
        <w:t>M. Thomsen. Steering innovations towards a green economy: Understanding government intervention[J]. Journal of Cleaner Production,2016,135:426-434.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[1</w:t>
      </w:r>
      <w:r>
        <w:rPr>
          <w:rFonts w:hint="eastAsia"/>
          <w:sz w:val="21"/>
          <w:szCs w:val="21"/>
          <w:lang w:val="en-US" w:eastAsia="zh-CN"/>
        </w:rPr>
        <w:t>0</w:t>
      </w:r>
      <w:r>
        <w:rPr>
          <w:rFonts w:hint="eastAsia" w:ascii="Times New Roman" w:hAnsi="Times New Roman" w:eastAsia="宋体"/>
          <w:sz w:val="21"/>
          <w:szCs w:val="21"/>
        </w:rPr>
        <w:t>]王馨,王营.绿色信贷政策增进绿色创新研究[J].管理世界,2021,37(06):173-188+11.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[1</w:t>
      </w:r>
      <w:r>
        <w:rPr>
          <w:rFonts w:hint="eastAsia"/>
          <w:sz w:val="21"/>
          <w:szCs w:val="21"/>
          <w:lang w:val="en-US" w:eastAsia="zh-CN"/>
        </w:rPr>
        <w:t>1</w:t>
      </w:r>
      <w:r>
        <w:rPr>
          <w:rFonts w:hint="eastAsia" w:ascii="Times New Roman" w:hAnsi="Times New Roman" w:eastAsia="宋体"/>
          <w:sz w:val="21"/>
          <w:szCs w:val="21"/>
        </w:rPr>
        <w:t>]杨柳勇,张泽野.绿色信贷政策对企业绿色创新的影响[J].科学学研究,2022,40(02):345-356.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鞠晓生,卢荻,虞义华.融资约束、营运资本管理与企业创新可持续性[J].经济研究,2013,48(01):4-16.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1</w:t>
      </w:r>
      <w:r>
        <w:rPr>
          <w:rFonts w:hint="eastAsia"/>
          <w:sz w:val="21"/>
          <w:szCs w:val="21"/>
          <w:lang w:val="en-US" w:eastAsia="zh-CN"/>
        </w:rPr>
        <w:t>3</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Xiao-xing Huang,Zhen-peng Hu,Cun-shan Liu,Da-jin Yu,Liu-fang Yu. The relationships between regulatory and customer pressure, green organizational responses, and green innovation performance[J]. Journal of Cleaner Production,2016,112(P4):</w:t>
      </w:r>
      <w:r>
        <w:rPr>
          <w:rFonts w:hint="eastAsia" w:ascii="Times New Roman" w:hAnsi="Times New Roman" w:eastAsia="宋体"/>
          <w:sz w:val="21"/>
          <w:szCs w:val="21"/>
          <w:lang w:val="en-US" w:eastAsia="zh-CN"/>
        </w:rPr>
        <w:t>3423</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4</w:t>
      </w:r>
      <w:r>
        <w:rPr>
          <w:rFonts w:hint="eastAsia" w:ascii="Times New Roman" w:hAnsi="Times New Roman" w:eastAsia="宋体"/>
          <w:sz w:val="21"/>
          <w:szCs w:val="21"/>
          <w:lang w:val="en-US" w:eastAsia="zh-CN"/>
        </w:rPr>
        <w:t>33</w:t>
      </w:r>
      <w:r>
        <w:rPr>
          <w:rFonts w:hint="eastAsia" w:ascii="Times New Roman" w:hAnsi="Times New Roman" w:eastAsia="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1</w:t>
      </w:r>
      <w:r>
        <w:rPr>
          <w:rFonts w:hint="eastAsia"/>
          <w:sz w:val="21"/>
          <w:szCs w:val="21"/>
          <w:lang w:val="en-US" w:eastAsia="zh-CN"/>
        </w:rPr>
        <w:t>4</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黎文靖,郑曼妮.实质性创新还是策略性创新?——宏观产业政策对微观企业创新的影响[J].经济研究,2016,51(04):60-73.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[1</w:t>
      </w:r>
      <w:r>
        <w:rPr>
          <w:rFonts w:hint="eastAsia"/>
          <w:sz w:val="21"/>
          <w:szCs w:val="21"/>
          <w:lang w:val="en-US" w:eastAsia="zh-CN"/>
        </w:rPr>
        <w:t>5</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张杰,郑文平.创新追赶战略抑制了中国专利质量么?[J].经济研究,2018,53(05):28-41.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[1</w:t>
      </w:r>
      <w:r>
        <w:rPr>
          <w:rFonts w:hint="eastAsia"/>
          <w:sz w:val="21"/>
          <w:szCs w:val="21"/>
          <w:lang w:val="en-US" w:eastAsia="zh-CN"/>
        </w:rPr>
        <w:t>6</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马光荣,刘明,杨恩艳.银行授信、信贷紧缩与企业研发[J].金融研究,2014(07):76-93.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17</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李后建,刘思亚.银行信贷、所有权性质与企业创新[J].科学学研究,2015,33(07):1089-1099.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18</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何凌云,梁宵,杨晓蕾,钟章奇.绿色信贷能促进环保企业技术创新吗[J].金融经济学研究,2019,34(05):109-121.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19</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曹霞,张路蓬.企业绿色技术创新扩散的演化博弈分析[J].中国人口·资源与环境,2015,25(07):68-76.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sz w:val="21"/>
          <w:szCs w:val="21"/>
          <w:lang w:val="en-US" w:eastAsia="zh-CN"/>
        </w:rPr>
        <w:t>0</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杨东,柴慧敏.企业绿色技术创新的驱动因素及其绩效影响研究综述[J].中国人口·资源与环境,2015,25(S2):132-136.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sz w:val="21"/>
          <w:szCs w:val="21"/>
          <w:lang w:val="en-US" w:eastAsia="zh-CN"/>
        </w:rPr>
        <w:t>1</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曹洪军,陈泽文.内外环境对企业绿色创新战略的驱动效应——高管环保意识的调节作用[J].南开管理评论,2017,20(06):95-103.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sz w:val="21"/>
          <w:szCs w:val="21"/>
          <w:lang w:val="en-US" w:eastAsia="zh-CN"/>
        </w:rPr>
        <w:t>2</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解学梅,罗丹,高彦茹.基于绿色创新的供应链企业协同机理实证研究[J].管理工程学报,2019,33(03):116-124.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sz w:val="21"/>
          <w:szCs w:val="21"/>
          <w:lang w:val="en-US" w:eastAsia="zh-CN"/>
        </w:rPr>
        <w:t>3</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舒利敏,张俊瑞.环境信息披露对银行信贷期限决策的影响——来自沪市重污染行业上市公司的经验证据[J].求索,2014(06):45-51.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sz w:val="21"/>
          <w:szCs w:val="21"/>
          <w:lang w:val="en-US" w:eastAsia="zh-CN"/>
        </w:rPr>
        <w:t>4</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蔡佳楠,李志青,蒋平.上市公司环境信息披露对银行信贷影响的实证研究[J].中国人口·资源与环境,2018,28(S1):121-124.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sz w:val="21"/>
          <w:szCs w:val="21"/>
          <w:lang w:val="en-US" w:eastAsia="zh-CN"/>
        </w:rPr>
        <w:t>5</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陈琪.中国绿色信贷政策落实了吗——基于“两高一剩”企业贷款规模和成本的分析[J].当代财经,2019(03):118-129.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sz w:val="21"/>
          <w:szCs w:val="21"/>
          <w:lang w:val="en-US" w:eastAsia="zh-CN"/>
        </w:rPr>
        <w:t>6</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江红莉,王为东,王露,吴佳慧.中国绿色金融发展的碳减排效果研究——以绿色信贷与绿色风投为例[J].金融论坛,2020,25(11):39-48+80.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rPr>
        <w:t>[</w:t>
      </w:r>
      <w:r>
        <w:rPr>
          <w:rFonts w:hint="eastAsia"/>
          <w:sz w:val="21"/>
          <w:szCs w:val="21"/>
          <w:lang w:val="en-US" w:eastAsia="zh-CN"/>
        </w:rPr>
        <w:t>27</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Brown,</w:t>
      </w:r>
      <w:r>
        <w:rPr>
          <w:rFonts w:hint="eastAsia"/>
          <w:sz w:val="21"/>
          <w:szCs w:val="21"/>
          <w:lang w:val="en-US" w:eastAsia="zh-CN"/>
        </w:rPr>
        <w:t xml:space="preserve"> </w:t>
      </w:r>
      <w:r>
        <w:rPr>
          <w:rFonts w:hint="eastAsia" w:ascii="Times New Roman" w:hAnsi="Times New Roman" w:eastAsia="宋体"/>
          <w:sz w:val="21"/>
          <w:szCs w:val="21"/>
        </w:rPr>
        <w:t>N</w:t>
      </w:r>
      <w:r>
        <w:rPr>
          <w:rFonts w:hint="eastAsia"/>
          <w:sz w:val="21"/>
          <w:szCs w:val="21"/>
          <w:lang w:val="en-US" w:eastAsia="zh-CN"/>
        </w:rPr>
        <w:t>.</w:t>
      </w:r>
      <w:r>
        <w:rPr>
          <w:rFonts w:ascii="Times New Roman" w:hAnsi="Times New Roman"/>
        </w:rPr>
        <w:t xml:space="preserve">, and </w:t>
      </w:r>
      <w:r>
        <w:rPr>
          <w:rFonts w:hint="eastAsia" w:ascii="Times New Roman" w:hAnsi="Times New Roman" w:eastAsia="宋体"/>
          <w:sz w:val="21"/>
          <w:szCs w:val="21"/>
        </w:rPr>
        <w:t>C</w:t>
      </w:r>
      <w:r>
        <w:rPr>
          <w:rFonts w:hint="eastAsia"/>
          <w:sz w:val="21"/>
          <w:szCs w:val="21"/>
          <w:lang w:val="en-US" w:eastAsia="zh-CN"/>
        </w:rPr>
        <w:t>.</w:t>
      </w:r>
      <w:r>
        <w:rPr>
          <w:rFonts w:hint="eastAsia" w:ascii="Times New Roman" w:hAnsi="Times New Roman" w:eastAsia="宋体"/>
          <w:sz w:val="21"/>
          <w:szCs w:val="21"/>
        </w:rPr>
        <w:t xml:space="preserve"> Deegan. The public disclosure of environmental performance information—a dual test of media agenda setting theory and legitimacy theory[J]. Accounting and Business Research,1998,29(1):</w:t>
      </w:r>
      <w:r>
        <w:rPr>
          <w:rFonts w:hint="eastAsia" w:ascii="Times New Roman" w:hAnsi="Times New Roman" w:eastAsia="宋体"/>
          <w:sz w:val="21"/>
          <w:szCs w:val="21"/>
          <w:lang w:val="en-US" w:eastAsia="zh-CN"/>
        </w:rPr>
        <w:t>21</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41</w:t>
      </w:r>
      <w:r>
        <w:rPr>
          <w:rFonts w:hint="eastAsia" w:ascii="Times New Roman" w:hAnsi="Times New Roman" w:eastAsia="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28</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李百兴,王博,卿小权.企业社会责任履行、媒体监督与财务绩效研究——基于A股重污染行业的经验数据[J].会计研究,2018(07):64-71.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sz w:val="21"/>
          <w:szCs w:val="21"/>
          <w:lang w:val="en-US" w:eastAsia="zh-CN"/>
        </w:rPr>
        <w:t>29</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潘爱玲,刘昕,邱金龙,申宇.媒体压力下的绿色并购能否促使重污染企业实现实质性转型[J].中国工业经济,2019(02):174-192.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3</w:t>
      </w:r>
      <w:r>
        <w:rPr>
          <w:rFonts w:hint="eastAsia"/>
          <w:sz w:val="21"/>
          <w:szCs w:val="21"/>
          <w:lang w:val="en-US" w:eastAsia="zh-CN"/>
        </w:rPr>
        <w:t>0</w:t>
      </w:r>
      <w:r>
        <w:rPr>
          <w:rFonts w:hint="eastAsia" w:ascii="Times New Roman" w:hAnsi="Times New Roman" w:eastAsia="宋体"/>
          <w:sz w:val="21"/>
          <w:szCs w:val="21"/>
        </w:rPr>
        <w:t>]</w:t>
      </w:r>
      <w:r>
        <w:rPr>
          <w:rFonts w:hint="eastAsia"/>
          <w:sz w:val="21"/>
          <w:szCs w:val="21"/>
          <w:lang w:val="en-US" w:eastAsia="zh-CN"/>
        </w:rPr>
        <w:t xml:space="preserve"> </w:t>
      </w:r>
      <w:r>
        <w:rPr>
          <w:rFonts w:hint="eastAsia" w:ascii="Times New Roman" w:hAnsi="Times New Roman" w:eastAsia="宋体"/>
          <w:sz w:val="21"/>
          <w:szCs w:val="21"/>
        </w:rPr>
        <w:t>丁杰.绿色信贷政策、信贷资源配置与企业策略性反应[J].经济评论,2019(04):62-75.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ascii="Times New Roman" w:hAnsi="Times New Roman" w:eastAsia="宋体"/>
          <w:sz w:val="21"/>
          <w:szCs w:val="21"/>
          <w:lang w:val="en-US" w:eastAsia="zh-CN"/>
        </w:rPr>
        <w:t>[3</w:t>
      </w:r>
      <w:r>
        <w:rPr>
          <w:rFonts w:hint="eastAsia"/>
          <w:sz w:val="21"/>
          <w:szCs w:val="21"/>
          <w:lang w:val="en-US" w:eastAsia="zh-CN"/>
        </w:rPr>
        <w:t>1</w:t>
      </w:r>
      <w:r>
        <w:rPr>
          <w:rFonts w:hint="eastAsia" w:ascii="Times New Roman" w:hAnsi="Times New Roman" w:eastAsia="宋体"/>
          <w:sz w:val="21"/>
          <w:szCs w:val="21"/>
          <w:lang w:val="en-US" w:eastAsia="zh-CN"/>
        </w:rPr>
        <w:t>]于波.绿色信贷政策如何影响重污染企业技术创新?[J].经济管理,2021,43(11):35-51.</w:t>
      </w:r>
    </w:p>
    <w:sectPr>
      <w:footerReference r:id="rId4" w:type="default"/>
      <w:footnotePr>
        <w:numFmt w:val="decimalEnclosedCircleChinese"/>
        <w:numRestart w:val="eachPage"/>
      </w:footnotePr>
      <w:pgSz w:w="11906" w:h="16838"/>
      <w:pgMar w:top="1440" w:right="1797" w:bottom="1440" w:left="1797" w:header="851" w:footer="567"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 PAGE   \* MERGEFORMAT </w:instrText>
                          </w:r>
                          <w:r>
                            <w:fldChar w:fldCharType="separate"/>
                          </w:r>
                          <w:r>
                            <w:rPr>
                              <w:lang w:val="zh-CN"/>
                            </w:rPr>
                            <w:t>27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27</w:t>
                    </w:r>
                    <w:r>
                      <w:rPr>
                        <w:lang w:val="zh-CN"/>
                      </w:rPr>
                      <w:fldChar w:fldCharType="end"/>
                    </w:r>
                  </w:p>
                </w:txbxContent>
              </v:textbox>
            </v:shape>
          </w:pict>
        </mc:Fallback>
      </mc:AlternateContent>
    </w:r>
  </w:p>
  <w:p>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5"/>
        <w:snapToGrid w:val="0"/>
        <w:jc w:val="both"/>
        <w:rPr>
          <w:rFonts w:hint="eastAsia" w:eastAsia="宋体"/>
          <w:lang w:eastAsia="zh-CN"/>
        </w:rPr>
      </w:pPr>
      <w:r>
        <w:rPr>
          <w:rStyle w:val="24"/>
        </w:rPr>
        <w:footnoteRef/>
      </w:r>
      <w:r>
        <w:t xml:space="preserve"> </w:t>
      </w:r>
      <w:r>
        <w:rPr>
          <w:rFonts w:hint="eastAsia" w:ascii="Times New Roman" w:hAnsi="Times New Roman"/>
          <w:b w:val="0"/>
          <w:bCs w:val="0"/>
        </w:rPr>
        <w:t>[投稿日期]：20</w:t>
      </w:r>
      <w:r>
        <w:rPr>
          <w:rFonts w:ascii="Times New Roman" w:hAnsi="Times New Roman"/>
          <w:b w:val="0"/>
          <w:bCs w:val="0"/>
        </w:rPr>
        <w:t>2</w:t>
      </w:r>
      <w:r>
        <w:rPr>
          <w:rFonts w:hint="eastAsia" w:ascii="Times New Roman" w:hAnsi="Times New Roman"/>
          <w:b w:val="0"/>
          <w:bCs w:val="0"/>
          <w:lang w:val="en-US" w:eastAsia="zh-CN"/>
        </w:rPr>
        <w:t>2</w:t>
      </w:r>
      <w:r>
        <w:rPr>
          <w:rFonts w:hint="eastAsia" w:ascii="Times New Roman" w:hAnsi="Times New Roman"/>
          <w:b w:val="0"/>
          <w:bCs w:val="0"/>
        </w:rPr>
        <w:t>-</w:t>
      </w:r>
      <w:r>
        <w:rPr>
          <w:rFonts w:hint="eastAsia" w:ascii="Times New Roman" w:hAnsi="Times New Roman"/>
          <w:b w:val="0"/>
          <w:bCs w:val="0"/>
          <w:lang w:val="en-US" w:eastAsia="zh-CN"/>
        </w:rPr>
        <w:t>03</w:t>
      </w:r>
      <w:r>
        <w:rPr>
          <w:rFonts w:hint="eastAsia" w:ascii="Times New Roman" w:hAnsi="Times New Roman"/>
          <w:b w:val="0"/>
          <w:bCs w:val="0"/>
        </w:rPr>
        <w:t>-</w:t>
      </w:r>
      <w:r>
        <w:rPr>
          <w:rFonts w:hint="eastAsia" w:ascii="Times New Roman" w:hAnsi="Times New Roman"/>
          <w:b w:val="0"/>
          <w:bCs w:val="0"/>
          <w:lang w:val="en-US" w:eastAsia="zh-CN"/>
        </w:rPr>
        <w:t>13</w:t>
      </w:r>
      <w:r>
        <w:rPr>
          <w:rFonts w:hint="eastAsia" w:ascii="Times New Roman" w:hAnsi="Times New Roman"/>
          <w:b w:val="0"/>
          <w:bCs w:val="0"/>
        </w:rPr>
        <w:t>；[修回日期]：2</w:t>
      </w:r>
      <w:r>
        <w:rPr>
          <w:rFonts w:ascii="Times New Roman" w:hAnsi="Times New Roman"/>
          <w:b w:val="0"/>
          <w:bCs w:val="0"/>
        </w:rPr>
        <w:t>02</w:t>
      </w:r>
      <w:r>
        <w:rPr>
          <w:rFonts w:hint="eastAsia" w:ascii="Times New Roman" w:hAnsi="Times New Roman"/>
          <w:b w:val="0"/>
          <w:bCs w:val="0"/>
          <w:lang w:val="en-US" w:eastAsia="zh-CN"/>
        </w:rPr>
        <w:t>2</w:t>
      </w:r>
      <w:r>
        <w:rPr>
          <w:rFonts w:hint="eastAsia" w:ascii="Times New Roman" w:hAnsi="Times New Roman"/>
          <w:b w:val="0"/>
          <w:bCs w:val="0"/>
        </w:rPr>
        <w:t>-</w:t>
      </w:r>
      <w:r>
        <w:rPr>
          <w:rFonts w:ascii="Times New Roman" w:hAnsi="Times New Roman"/>
          <w:b w:val="0"/>
          <w:bCs w:val="0"/>
        </w:rPr>
        <w:t>0</w:t>
      </w:r>
      <w:r>
        <w:rPr>
          <w:rFonts w:hint="eastAsia" w:ascii="Times New Roman" w:hAnsi="Times New Roman"/>
          <w:b w:val="0"/>
          <w:bCs w:val="0"/>
          <w:lang w:val="en-US" w:eastAsia="zh-CN"/>
        </w:rPr>
        <w:t>5</w:t>
      </w:r>
      <w:r>
        <w:rPr>
          <w:rFonts w:hint="eastAsia" w:ascii="Times New Roman" w:hAnsi="Times New Roman"/>
          <w:b w:val="0"/>
          <w:bCs w:val="0"/>
        </w:rPr>
        <w:t>-</w:t>
      </w:r>
      <w:r>
        <w:rPr>
          <w:rFonts w:ascii="Times New Roman" w:hAnsi="Times New Roman"/>
          <w:b w:val="0"/>
          <w:bCs w:val="0"/>
        </w:rPr>
        <w:t>1</w:t>
      </w:r>
      <w:r>
        <w:rPr>
          <w:rFonts w:hint="eastAsia" w:ascii="Times New Roman" w:hAnsi="Times New Roman"/>
          <w:b w:val="0"/>
          <w:bCs w:val="0"/>
          <w:lang w:val="en-US" w:eastAsia="zh-CN"/>
        </w:rPr>
        <w:t>3</w:t>
      </w:r>
    </w:p>
  </w:footnote>
  <w:footnote w:id="1">
    <w:p>
      <w:pPr>
        <w:pStyle w:val="15"/>
        <w:snapToGrid w:val="0"/>
      </w:pPr>
      <w:r>
        <w:rPr>
          <w:rStyle w:val="24"/>
        </w:rPr>
        <w:footnoteRef/>
      </w:r>
      <w:r>
        <w:t xml:space="preserve"> </w:t>
      </w:r>
      <w:r>
        <w:rPr>
          <w:rFonts w:hint="eastAsia"/>
        </w:rPr>
        <w:t>[作者简介]</w:t>
      </w:r>
      <w:r>
        <w:rPr>
          <w:rFonts w:hint="eastAsia"/>
          <w:lang w:val="en-US" w:eastAsia="zh-CN"/>
        </w:rPr>
        <w:t xml:space="preserve"> 通讯作者：</w:t>
      </w:r>
      <w:r>
        <w:rPr>
          <w:rFonts w:hint="eastAsia"/>
        </w:rPr>
        <w:t>杨哲</w:t>
      </w:r>
      <w:r>
        <w:rPr>
          <w:rFonts w:hint="eastAsia"/>
          <w:lang w:val="en-US" w:eastAsia="zh-CN"/>
        </w:rPr>
        <w:t>*</w:t>
      </w:r>
      <w:r>
        <w:rPr>
          <w:rFonts w:hint="eastAsia"/>
        </w:rPr>
        <w:t>，男，2000.3-，经济学（中美合作）专业本科生，上海师范大学商学院</w:t>
      </w:r>
      <w:r>
        <w:rPr>
          <w:rFonts w:hint="eastAsia"/>
          <w:lang w:eastAsia="zh-CN"/>
        </w:rPr>
        <w:t>。</w:t>
      </w:r>
      <w:r>
        <w:rPr>
          <w:rFonts w:hint="eastAsia"/>
        </w:rPr>
        <w:t>电子邮箱：george.yz@foxmail.com；联系电话：19821386797；通讯地址：上海市徐汇区桂林路100号上海师范大学商学院。感谢匿名评审专家和编辑部的宝贵意见，文责自负。</w:t>
      </w:r>
    </w:p>
  </w:footnote>
  <w:footnote w:id="2">
    <w:p>
      <w:pPr>
        <w:pStyle w:val="15"/>
        <w:snapToGrid w:val="0"/>
        <w:jc w:val="both"/>
      </w:pPr>
      <w:r>
        <w:rPr>
          <w:rStyle w:val="24"/>
        </w:rPr>
        <w:footnoteRef/>
      </w:r>
      <w:r>
        <w:t xml:space="preserve"> </w:t>
      </w:r>
      <w:r>
        <w:rPr>
          <w:rFonts w:hint="eastAsia"/>
          <w:lang w:val="en-US" w:eastAsia="zh-CN"/>
        </w:rPr>
        <w:t>作者</w:t>
      </w:r>
      <w:r>
        <w:rPr>
          <w:rFonts w:hint="eastAsia"/>
        </w:rPr>
        <w:t>金则杨，男，1991.8-，经济学博士，上海师范大学商学院讲师；研究领域：公司金融、国际经济学</w:t>
      </w:r>
      <w:r>
        <w:rPr>
          <w:rFonts w:hint="eastAsia"/>
          <w:lang w:eastAsia="zh-CN"/>
        </w:rPr>
        <w:t>。</w:t>
      </w:r>
      <w:r>
        <w:rPr>
          <w:rFonts w:hint="eastAsia"/>
        </w:rPr>
        <w:t>电子邮箱：jinzy@shnu.edu.cn；联系电话：17621213255；通讯地址：上海市徐汇区桂林路100号上海师范大学商学院。</w:t>
      </w:r>
    </w:p>
  </w:footnote>
  <w:footnote w:id="3">
    <w:p>
      <w:pPr>
        <w:pStyle w:val="15"/>
        <w:snapToGrid w:val="0"/>
        <w:rPr>
          <w:rFonts w:hint="default" w:eastAsiaTheme="minorEastAsia"/>
          <w:lang w:val="en-US" w:eastAsia="zh-CN"/>
        </w:rPr>
      </w:pPr>
      <w:r>
        <w:rPr>
          <w:rStyle w:val="24"/>
        </w:rPr>
        <w:footnoteRef/>
      </w:r>
      <w:r>
        <w:t xml:space="preserve"> </w:t>
      </w:r>
      <w:r>
        <w:rPr>
          <w:rFonts w:hint="eastAsia"/>
          <w:lang w:val="en-US" w:eastAsia="zh-CN"/>
        </w:rPr>
        <w:t>中国银行保险监督管理委员会官网http://www.cbirc.gov.cn/cn/view/pages/index/index.html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formatting="1" w:enforcement="0"/>
  <w:defaultTabStop w:val="50"/>
  <w:drawingGridHorizontalSpacing w:val="120"/>
  <w:drawingGridVerticalSpacing w:val="163"/>
  <w:displayHorizontalDrawingGridEvery w:val="1"/>
  <w:displayVerticalDrawingGridEvery w:val="1"/>
  <w:noPunctuationKerning w:val="1"/>
  <w:characterSpacingControl w:val="compressPunctuation"/>
  <w:footnotePr>
    <w:numFmt w:val="decimalEnclosedCircleChinese"/>
    <w:numRestart w:val="eachPage"/>
    <w:footnote w:id="8"/>
    <w:footnote w:id="9"/>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IwMzYwMTI0ODkyOTZiNzIxYTg3YmExMzkyZTEifQ=="/>
  </w:docVars>
  <w:rsids>
    <w:rsidRoot w:val="00172A27"/>
    <w:rsid w:val="000032D3"/>
    <w:rsid w:val="000048DC"/>
    <w:rsid w:val="00006503"/>
    <w:rsid w:val="00010F7E"/>
    <w:rsid w:val="00012496"/>
    <w:rsid w:val="0001394D"/>
    <w:rsid w:val="00014271"/>
    <w:rsid w:val="00014C7A"/>
    <w:rsid w:val="00015321"/>
    <w:rsid w:val="0001585E"/>
    <w:rsid w:val="000165A0"/>
    <w:rsid w:val="00016E0E"/>
    <w:rsid w:val="0002003A"/>
    <w:rsid w:val="00020070"/>
    <w:rsid w:val="000206FB"/>
    <w:rsid w:val="000220A0"/>
    <w:rsid w:val="00022C9A"/>
    <w:rsid w:val="00023104"/>
    <w:rsid w:val="000239CF"/>
    <w:rsid w:val="00023B14"/>
    <w:rsid w:val="00025378"/>
    <w:rsid w:val="00025A35"/>
    <w:rsid w:val="00025B0F"/>
    <w:rsid w:val="000271F1"/>
    <w:rsid w:val="00027D38"/>
    <w:rsid w:val="0003100F"/>
    <w:rsid w:val="00033179"/>
    <w:rsid w:val="00033D70"/>
    <w:rsid w:val="00033F57"/>
    <w:rsid w:val="0003608A"/>
    <w:rsid w:val="000377B6"/>
    <w:rsid w:val="000403A6"/>
    <w:rsid w:val="000429EA"/>
    <w:rsid w:val="00043AC4"/>
    <w:rsid w:val="00043AD4"/>
    <w:rsid w:val="00050B35"/>
    <w:rsid w:val="00050FC3"/>
    <w:rsid w:val="0005128A"/>
    <w:rsid w:val="00052076"/>
    <w:rsid w:val="000524F4"/>
    <w:rsid w:val="00052C4B"/>
    <w:rsid w:val="00053282"/>
    <w:rsid w:val="0005481F"/>
    <w:rsid w:val="00054CBC"/>
    <w:rsid w:val="000551DA"/>
    <w:rsid w:val="00055225"/>
    <w:rsid w:val="00055306"/>
    <w:rsid w:val="0005538D"/>
    <w:rsid w:val="00056DB1"/>
    <w:rsid w:val="00057178"/>
    <w:rsid w:val="00061DC7"/>
    <w:rsid w:val="00064117"/>
    <w:rsid w:val="00064304"/>
    <w:rsid w:val="0006511E"/>
    <w:rsid w:val="000658C2"/>
    <w:rsid w:val="00065B6F"/>
    <w:rsid w:val="000671D5"/>
    <w:rsid w:val="000676F9"/>
    <w:rsid w:val="0007196B"/>
    <w:rsid w:val="00076536"/>
    <w:rsid w:val="00076A15"/>
    <w:rsid w:val="00080298"/>
    <w:rsid w:val="00080A27"/>
    <w:rsid w:val="00084FF8"/>
    <w:rsid w:val="00085342"/>
    <w:rsid w:val="00086E6B"/>
    <w:rsid w:val="000908A6"/>
    <w:rsid w:val="00090BC1"/>
    <w:rsid w:val="00090E82"/>
    <w:rsid w:val="00092AC4"/>
    <w:rsid w:val="0009510E"/>
    <w:rsid w:val="0009557B"/>
    <w:rsid w:val="000A00E4"/>
    <w:rsid w:val="000A08AE"/>
    <w:rsid w:val="000A2C59"/>
    <w:rsid w:val="000A3781"/>
    <w:rsid w:val="000A3D95"/>
    <w:rsid w:val="000A44C2"/>
    <w:rsid w:val="000A4B13"/>
    <w:rsid w:val="000A554D"/>
    <w:rsid w:val="000B0782"/>
    <w:rsid w:val="000B2187"/>
    <w:rsid w:val="000B2A8A"/>
    <w:rsid w:val="000B3654"/>
    <w:rsid w:val="000B37E2"/>
    <w:rsid w:val="000B54C6"/>
    <w:rsid w:val="000B6C3F"/>
    <w:rsid w:val="000B721C"/>
    <w:rsid w:val="000B753B"/>
    <w:rsid w:val="000C1241"/>
    <w:rsid w:val="000C41AD"/>
    <w:rsid w:val="000C5056"/>
    <w:rsid w:val="000C67F8"/>
    <w:rsid w:val="000C739D"/>
    <w:rsid w:val="000C76AB"/>
    <w:rsid w:val="000D0F81"/>
    <w:rsid w:val="000D1C7A"/>
    <w:rsid w:val="000D4246"/>
    <w:rsid w:val="000D5764"/>
    <w:rsid w:val="000D63FE"/>
    <w:rsid w:val="000D66F6"/>
    <w:rsid w:val="000D7E63"/>
    <w:rsid w:val="000E1DF9"/>
    <w:rsid w:val="000E21BA"/>
    <w:rsid w:val="000E35E2"/>
    <w:rsid w:val="000E37E8"/>
    <w:rsid w:val="000E3E5A"/>
    <w:rsid w:val="000E4FBE"/>
    <w:rsid w:val="000E50AE"/>
    <w:rsid w:val="000E5713"/>
    <w:rsid w:val="000E64BC"/>
    <w:rsid w:val="000E7ABA"/>
    <w:rsid w:val="000E7E48"/>
    <w:rsid w:val="000F0090"/>
    <w:rsid w:val="000F0E29"/>
    <w:rsid w:val="000F0E88"/>
    <w:rsid w:val="000F23EE"/>
    <w:rsid w:val="000F3067"/>
    <w:rsid w:val="000F31AA"/>
    <w:rsid w:val="000F357A"/>
    <w:rsid w:val="000F564F"/>
    <w:rsid w:val="000F6FB8"/>
    <w:rsid w:val="000F750E"/>
    <w:rsid w:val="001003BB"/>
    <w:rsid w:val="001026AC"/>
    <w:rsid w:val="00103442"/>
    <w:rsid w:val="001037D6"/>
    <w:rsid w:val="0010397E"/>
    <w:rsid w:val="00106974"/>
    <w:rsid w:val="0010777D"/>
    <w:rsid w:val="0011069C"/>
    <w:rsid w:val="0011202B"/>
    <w:rsid w:val="00112167"/>
    <w:rsid w:val="00114867"/>
    <w:rsid w:val="00114E67"/>
    <w:rsid w:val="00115DC3"/>
    <w:rsid w:val="00116B7E"/>
    <w:rsid w:val="00117FCF"/>
    <w:rsid w:val="00120A9E"/>
    <w:rsid w:val="00121D8D"/>
    <w:rsid w:val="001255D9"/>
    <w:rsid w:val="00125AC2"/>
    <w:rsid w:val="00125BA8"/>
    <w:rsid w:val="00125BEB"/>
    <w:rsid w:val="00126C61"/>
    <w:rsid w:val="001271C8"/>
    <w:rsid w:val="001302A6"/>
    <w:rsid w:val="001303D9"/>
    <w:rsid w:val="001305E3"/>
    <w:rsid w:val="00130CA5"/>
    <w:rsid w:val="00131542"/>
    <w:rsid w:val="00132D8D"/>
    <w:rsid w:val="001345A2"/>
    <w:rsid w:val="00137885"/>
    <w:rsid w:val="00141D24"/>
    <w:rsid w:val="001437AE"/>
    <w:rsid w:val="001456BD"/>
    <w:rsid w:val="00145838"/>
    <w:rsid w:val="00145AE4"/>
    <w:rsid w:val="0015005D"/>
    <w:rsid w:val="0015058B"/>
    <w:rsid w:val="00150D83"/>
    <w:rsid w:val="00151F52"/>
    <w:rsid w:val="00152D74"/>
    <w:rsid w:val="001548CC"/>
    <w:rsid w:val="001569AE"/>
    <w:rsid w:val="001578B8"/>
    <w:rsid w:val="001600B9"/>
    <w:rsid w:val="001605A7"/>
    <w:rsid w:val="00160942"/>
    <w:rsid w:val="00161822"/>
    <w:rsid w:val="00163EB1"/>
    <w:rsid w:val="001647B6"/>
    <w:rsid w:val="00164A22"/>
    <w:rsid w:val="00164F08"/>
    <w:rsid w:val="0016656C"/>
    <w:rsid w:val="0016722E"/>
    <w:rsid w:val="00167ADA"/>
    <w:rsid w:val="00170A61"/>
    <w:rsid w:val="00170DD5"/>
    <w:rsid w:val="001722D5"/>
    <w:rsid w:val="00172678"/>
    <w:rsid w:val="00173946"/>
    <w:rsid w:val="00173BAA"/>
    <w:rsid w:val="00174E59"/>
    <w:rsid w:val="001755B1"/>
    <w:rsid w:val="001757D5"/>
    <w:rsid w:val="00176841"/>
    <w:rsid w:val="0018082E"/>
    <w:rsid w:val="00181010"/>
    <w:rsid w:val="00182CFF"/>
    <w:rsid w:val="00184078"/>
    <w:rsid w:val="00184E11"/>
    <w:rsid w:val="00184E90"/>
    <w:rsid w:val="00185AD8"/>
    <w:rsid w:val="00185C4A"/>
    <w:rsid w:val="0019182A"/>
    <w:rsid w:val="001925A2"/>
    <w:rsid w:val="001928C3"/>
    <w:rsid w:val="001939C2"/>
    <w:rsid w:val="00193C66"/>
    <w:rsid w:val="00197AE4"/>
    <w:rsid w:val="001A3143"/>
    <w:rsid w:val="001A31A7"/>
    <w:rsid w:val="001A463A"/>
    <w:rsid w:val="001A55B8"/>
    <w:rsid w:val="001A668F"/>
    <w:rsid w:val="001A6B33"/>
    <w:rsid w:val="001B0D1D"/>
    <w:rsid w:val="001B1392"/>
    <w:rsid w:val="001B332F"/>
    <w:rsid w:val="001B33A7"/>
    <w:rsid w:val="001B3474"/>
    <w:rsid w:val="001B38FB"/>
    <w:rsid w:val="001B3E81"/>
    <w:rsid w:val="001B5E52"/>
    <w:rsid w:val="001B60D7"/>
    <w:rsid w:val="001C0519"/>
    <w:rsid w:val="001C142F"/>
    <w:rsid w:val="001C2987"/>
    <w:rsid w:val="001C2D28"/>
    <w:rsid w:val="001C3875"/>
    <w:rsid w:val="001C3BF2"/>
    <w:rsid w:val="001C5DD6"/>
    <w:rsid w:val="001C6E50"/>
    <w:rsid w:val="001C74BA"/>
    <w:rsid w:val="001D16D5"/>
    <w:rsid w:val="001D50D3"/>
    <w:rsid w:val="001D681D"/>
    <w:rsid w:val="001E1EC6"/>
    <w:rsid w:val="001E2A6C"/>
    <w:rsid w:val="001E32D6"/>
    <w:rsid w:val="001E625B"/>
    <w:rsid w:val="001E6B10"/>
    <w:rsid w:val="001E6F9F"/>
    <w:rsid w:val="001E7582"/>
    <w:rsid w:val="001F011A"/>
    <w:rsid w:val="001F01D7"/>
    <w:rsid w:val="001F1F65"/>
    <w:rsid w:val="001F54F6"/>
    <w:rsid w:val="001F7915"/>
    <w:rsid w:val="001F7B94"/>
    <w:rsid w:val="002007E6"/>
    <w:rsid w:val="00204017"/>
    <w:rsid w:val="00205EDD"/>
    <w:rsid w:val="00213592"/>
    <w:rsid w:val="0021526F"/>
    <w:rsid w:val="00217AD4"/>
    <w:rsid w:val="00224432"/>
    <w:rsid w:val="0022680D"/>
    <w:rsid w:val="00226AC5"/>
    <w:rsid w:val="00226CA8"/>
    <w:rsid w:val="0022781E"/>
    <w:rsid w:val="00227F7F"/>
    <w:rsid w:val="00230234"/>
    <w:rsid w:val="00232115"/>
    <w:rsid w:val="00233129"/>
    <w:rsid w:val="002351B9"/>
    <w:rsid w:val="00235D82"/>
    <w:rsid w:val="00235E3D"/>
    <w:rsid w:val="00236AA3"/>
    <w:rsid w:val="00240760"/>
    <w:rsid w:val="00240F31"/>
    <w:rsid w:val="002418EB"/>
    <w:rsid w:val="00242861"/>
    <w:rsid w:val="0024349C"/>
    <w:rsid w:val="0024362E"/>
    <w:rsid w:val="00243DA3"/>
    <w:rsid w:val="002445F5"/>
    <w:rsid w:val="00245BEB"/>
    <w:rsid w:val="00245E4B"/>
    <w:rsid w:val="00252033"/>
    <w:rsid w:val="00253BFF"/>
    <w:rsid w:val="002553E4"/>
    <w:rsid w:val="00257431"/>
    <w:rsid w:val="00257820"/>
    <w:rsid w:val="00260397"/>
    <w:rsid w:val="00261592"/>
    <w:rsid w:val="00261977"/>
    <w:rsid w:val="002627A8"/>
    <w:rsid w:val="00263F4C"/>
    <w:rsid w:val="00264184"/>
    <w:rsid w:val="0026453B"/>
    <w:rsid w:val="002645B3"/>
    <w:rsid w:val="00264B55"/>
    <w:rsid w:val="00265CC9"/>
    <w:rsid w:val="0027001B"/>
    <w:rsid w:val="00270144"/>
    <w:rsid w:val="00272CA1"/>
    <w:rsid w:val="00272ED6"/>
    <w:rsid w:val="00273015"/>
    <w:rsid w:val="00273A30"/>
    <w:rsid w:val="002749C0"/>
    <w:rsid w:val="002752F7"/>
    <w:rsid w:val="0027688A"/>
    <w:rsid w:val="00277FA8"/>
    <w:rsid w:val="002811A0"/>
    <w:rsid w:val="0028359E"/>
    <w:rsid w:val="0028366F"/>
    <w:rsid w:val="002836D3"/>
    <w:rsid w:val="00284195"/>
    <w:rsid w:val="0028584F"/>
    <w:rsid w:val="00285A94"/>
    <w:rsid w:val="00285E5A"/>
    <w:rsid w:val="00287B23"/>
    <w:rsid w:val="00291153"/>
    <w:rsid w:val="00291597"/>
    <w:rsid w:val="00293B92"/>
    <w:rsid w:val="00293BFF"/>
    <w:rsid w:val="00295F05"/>
    <w:rsid w:val="002971FE"/>
    <w:rsid w:val="002A1ABD"/>
    <w:rsid w:val="002A4822"/>
    <w:rsid w:val="002A62E3"/>
    <w:rsid w:val="002A6D57"/>
    <w:rsid w:val="002B1343"/>
    <w:rsid w:val="002B200C"/>
    <w:rsid w:val="002B4360"/>
    <w:rsid w:val="002B4B66"/>
    <w:rsid w:val="002B5081"/>
    <w:rsid w:val="002B6982"/>
    <w:rsid w:val="002B778A"/>
    <w:rsid w:val="002B7FDB"/>
    <w:rsid w:val="002C000F"/>
    <w:rsid w:val="002C177F"/>
    <w:rsid w:val="002C2121"/>
    <w:rsid w:val="002C4BD6"/>
    <w:rsid w:val="002C6518"/>
    <w:rsid w:val="002C7D1A"/>
    <w:rsid w:val="002D06BC"/>
    <w:rsid w:val="002D0CA1"/>
    <w:rsid w:val="002D0CBE"/>
    <w:rsid w:val="002D24D0"/>
    <w:rsid w:val="002D6260"/>
    <w:rsid w:val="002D7D58"/>
    <w:rsid w:val="002E3E72"/>
    <w:rsid w:val="002E4017"/>
    <w:rsid w:val="002F0EE3"/>
    <w:rsid w:val="002F156C"/>
    <w:rsid w:val="002F181E"/>
    <w:rsid w:val="002F30A4"/>
    <w:rsid w:val="002F4144"/>
    <w:rsid w:val="002F6203"/>
    <w:rsid w:val="002F7DAA"/>
    <w:rsid w:val="002F7FE4"/>
    <w:rsid w:val="0030069D"/>
    <w:rsid w:val="003022FB"/>
    <w:rsid w:val="0030292B"/>
    <w:rsid w:val="0030391E"/>
    <w:rsid w:val="003039AC"/>
    <w:rsid w:val="00304007"/>
    <w:rsid w:val="00304016"/>
    <w:rsid w:val="003049E4"/>
    <w:rsid w:val="00304B98"/>
    <w:rsid w:val="00305D9E"/>
    <w:rsid w:val="00305E95"/>
    <w:rsid w:val="00306BEF"/>
    <w:rsid w:val="00307B2D"/>
    <w:rsid w:val="00310F91"/>
    <w:rsid w:val="00311651"/>
    <w:rsid w:val="00312D47"/>
    <w:rsid w:val="00314E10"/>
    <w:rsid w:val="00314F36"/>
    <w:rsid w:val="003152E3"/>
    <w:rsid w:val="003164E2"/>
    <w:rsid w:val="00316B08"/>
    <w:rsid w:val="00316D85"/>
    <w:rsid w:val="0032098A"/>
    <w:rsid w:val="003223F6"/>
    <w:rsid w:val="00323E30"/>
    <w:rsid w:val="003251C5"/>
    <w:rsid w:val="0032569A"/>
    <w:rsid w:val="00325EBF"/>
    <w:rsid w:val="00326C30"/>
    <w:rsid w:val="00326E96"/>
    <w:rsid w:val="00330B92"/>
    <w:rsid w:val="0033182A"/>
    <w:rsid w:val="0033185A"/>
    <w:rsid w:val="00332352"/>
    <w:rsid w:val="003328FC"/>
    <w:rsid w:val="00332FD3"/>
    <w:rsid w:val="0033379F"/>
    <w:rsid w:val="00333B51"/>
    <w:rsid w:val="00333C1A"/>
    <w:rsid w:val="00334378"/>
    <w:rsid w:val="003347A9"/>
    <w:rsid w:val="00334D9E"/>
    <w:rsid w:val="00335AE1"/>
    <w:rsid w:val="003360D7"/>
    <w:rsid w:val="0033618C"/>
    <w:rsid w:val="00337355"/>
    <w:rsid w:val="003415E1"/>
    <w:rsid w:val="00341969"/>
    <w:rsid w:val="00342D7D"/>
    <w:rsid w:val="003453BC"/>
    <w:rsid w:val="003454AF"/>
    <w:rsid w:val="00345B6F"/>
    <w:rsid w:val="0034783C"/>
    <w:rsid w:val="00350510"/>
    <w:rsid w:val="00350F3C"/>
    <w:rsid w:val="003512F4"/>
    <w:rsid w:val="00351EEA"/>
    <w:rsid w:val="00352CA3"/>
    <w:rsid w:val="00354702"/>
    <w:rsid w:val="00355856"/>
    <w:rsid w:val="003576FA"/>
    <w:rsid w:val="0036025F"/>
    <w:rsid w:val="0036110E"/>
    <w:rsid w:val="00362393"/>
    <w:rsid w:val="003623A4"/>
    <w:rsid w:val="00362F05"/>
    <w:rsid w:val="00363DC7"/>
    <w:rsid w:val="00363F96"/>
    <w:rsid w:val="003658BD"/>
    <w:rsid w:val="00366BDB"/>
    <w:rsid w:val="003677D2"/>
    <w:rsid w:val="003704DF"/>
    <w:rsid w:val="00373D67"/>
    <w:rsid w:val="00375993"/>
    <w:rsid w:val="00375BAA"/>
    <w:rsid w:val="00376EAC"/>
    <w:rsid w:val="00377C17"/>
    <w:rsid w:val="0038269D"/>
    <w:rsid w:val="00382FC6"/>
    <w:rsid w:val="003837DC"/>
    <w:rsid w:val="00385014"/>
    <w:rsid w:val="00385876"/>
    <w:rsid w:val="003904F4"/>
    <w:rsid w:val="00390B4A"/>
    <w:rsid w:val="0039127C"/>
    <w:rsid w:val="00391F4E"/>
    <w:rsid w:val="00392FB6"/>
    <w:rsid w:val="00393718"/>
    <w:rsid w:val="003953BF"/>
    <w:rsid w:val="00395F26"/>
    <w:rsid w:val="00396994"/>
    <w:rsid w:val="00397621"/>
    <w:rsid w:val="003A02DD"/>
    <w:rsid w:val="003A0BD7"/>
    <w:rsid w:val="003A3EF0"/>
    <w:rsid w:val="003A4901"/>
    <w:rsid w:val="003A4941"/>
    <w:rsid w:val="003A4DF2"/>
    <w:rsid w:val="003A4E26"/>
    <w:rsid w:val="003A51CA"/>
    <w:rsid w:val="003A7314"/>
    <w:rsid w:val="003A7B72"/>
    <w:rsid w:val="003B1059"/>
    <w:rsid w:val="003B386E"/>
    <w:rsid w:val="003B4A0F"/>
    <w:rsid w:val="003B4F98"/>
    <w:rsid w:val="003B52CE"/>
    <w:rsid w:val="003B54DF"/>
    <w:rsid w:val="003B5998"/>
    <w:rsid w:val="003B59C4"/>
    <w:rsid w:val="003B67BF"/>
    <w:rsid w:val="003C0CA9"/>
    <w:rsid w:val="003C1BD8"/>
    <w:rsid w:val="003C2CA2"/>
    <w:rsid w:val="003C3691"/>
    <w:rsid w:val="003C554D"/>
    <w:rsid w:val="003C60A0"/>
    <w:rsid w:val="003C6E7E"/>
    <w:rsid w:val="003C7624"/>
    <w:rsid w:val="003D0390"/>
    <w:rsid w:val="003D0461"/>
    <w:rsid w:val="003D29BC"/>
    <w:rsid w:val="003D37B1"/>
    <w:rsid w:val="003D52C1"/>
    <w:rsid w:val="003D6154"/>
    <w:rsid w:val="003D7388"/>
    <w:rsid w:val="003D7DAF"/>
    <w:rsid w:val="003E0557"/>
    <w:rsid w:val="003E131E"/>
    <w:rsid w:val="003E14EA"/>
    <w:rsid w:val="003E206F"/>
    <w:rsid w:val="003E2780"/>
    <w:rsid w:val="003E5576"/>
    <w:rsid w:val="003F0114"/>
    <w:rsid w:val="003F0DCA"/>
    <w:rsid w:val="003F18AE"/>
    <w:rsid w:val="003F21B7"/>
    <w:rsid w:val="003F2C09"/>
    <w:rsid w:val="003F6F64"/>
    <w:rsid w:val="004006CC"/>
    <w:rsid w:val="00400AE0"/>
    <w:rsid w:val="00401B9D"/>
    <w:rsid w:val="0040204B"/>
    <w:rsid w:val="00402975"/>
    <w:rsid w:val="0040355B"/>
    <w:rsid w:val="00404C07"/>
    <w:rsid w:val="004062E9"/>
    <w:rsid w:val="0040733D"/>
    <w:rsid w:val="00410457"/>
    <w:rsid w:val="00410D1D"/>
    <w:rsid w:val="00411A0F"/>
    <w:rsid w:val="004127B9"/>
    <w:rsid w:val="00413FEE"/>
    <w:rsid w:val="0041502C"/>
    <w:rsid w:val="00415968"/>
    <w:rsid w:val="00420BDB"/>
    <w:rsid w:val="00420D4A"/>
    <w:rsid w:val="00420F6A"/>
    <w:rsid w:val="00421166"/>
    <w:rsid w:val="004221A5"/>
    <w:rsid w:val="00422A7B"/>
    <w:rsid w:val="00422D36"/>
    <w:rsid w:val="00425395"/>
    <w:rsid w:val="004253CB"/>
    <w:rsid w:val="00425CA3"/>
    <w:rsid w:val="0042664E"/>
    <w:rsid w:val="00426A52"/>
    <w:rsid w:val="00427085"/>
    <w:rsid w:val="00427BF5"/>
    <w:rsid w:val="00430D35"/>
    <w:rsid w:val="00431044"/>
    <w:rsid w:val="00431E3F"/>
    <w:rsid w:val="00432004"/>
    <w:rsid w:val="00433097"/>
    <w:rsid w:val="004333C1"/>
    <w:rsid w:val="004336D6"/>
    <w:rsid w:val="0043471F"/>
    <w:rsid w:val="0043652D"/>
    <w:rsid w:val="004365AC"/>
    <w:rsid w:val="004367CB"/>
    <w:rsid w:val="00436E93"/>
    <w:rsid w:val="00437EA8"/>
    <w:rsid w:val="004408B0"/>
    <w:rsid w:val="00441047"/>
    <w:rsid w:val="004411D5"/>
    <w:rsid w:val="00441695"/>
    <w:rsid w:val="00441839"/>
    <w:rsid w:val="00445712"/>
    <w:rsid w:val="004471B8"/>
    <w:rsid w:val="00451CAF"/>
    <w:rsid w:val="00452117"/>
    <w:rsid w:val="00452D1B"/>
    <w:rsid w:val="00454626"/>
    <w:rsid w:val="0045566A"/>
    <w:rsid w:val="00456155"/>
    <w:rsid w:val="004569CF"/>
    <w:rsid w:val="00464AD5"/>
    <w:rsid w:val="00465852"/>
    <w:rsid w:val="00465D3D"/>
    <w:rsid w:val="004666F0"/>
    <w:rsid w:val="00470132"/>
    <w:rsid w:val="0047072D"/>
    <w:rsid w:val="004709D7"/>
    <w:rsid w:val="0047180C"/>
    <w:rsid w:val="004719A7"/>
    <w:rsid w:val="004723AC"/>
    <w:rsid w:val="00472B26"/>
    <w:rsid w:val="00474E85"/>
    <w:rsid w:val="00480EA1"/>
    <w:rsid w:val="00483045"/>
    <w:rsid w:val="004844D4"/>
    <w:rsid w:val="0048640C"/>
    <w:rsid w:val="00487216"/>
    <w:rsid w:val="004876C9"/>
    <w:rsid w:val="00487DBA"/>
    <w:rsid w:val="004909FB"/>
    <w:rsid w:val="004915D4"/>
    <w:rsid w:val="00492299"/>
    <w:rsid w:val="00493A6C"/>
    <w:rsid w:val="0049459D"/>
    <w:rsid w:val="004949BB"/>
    <w:rsid w:val="004966AF"/>
    <w:rsid w:val="00496D0B"/>
    <w:rsid w:val="004974DB"/>
    <w:rsid w:val="004A0922"/>
    <w:rsid w:val="004A1043"/>
    <w:rsid w:val="004A15DA"/>
    <w:rsid w:val="004A26D1"/>
    <w:rsid w:val="004A4185"/>
    <w:rsid w:val="004A4264"/>
    <w:rsid w:val="004A42D9"/>
    <w:rsid w:val="004A4CEF"/>
    <w:rsid w:val="004A4F1E"/>
    <w:rsid w:val="004A62AD"/>
    <w:rsid w:val="004A636B"/>
    <w:rsid w:val="004B250B"/>
    <w:rsid w:val="004B3C60"/>
    <w:rsid w:val="004B5863"/>
    <w:rsid w:val="004B6718"/>
    <w:rsid w:val="004B75DE"/>
    <w:rsid w:val="004B79D1"/>
    <w:rsid w:val="004C0070"/>
    <w:rsid w:val="004C05AA"/>
    <w:rsid w:val="004C0D3B"/>
    <w:rsid w:val="004C2087"/>
    <w:rsid w:val="004C2638"/>
    <w:rsid w:val="004C2FF6"/>
    <w:rsid w:val="004C4811"/>
    <w:rsid w:val="004C5323"/>
    <w:rsid w:val="004C54EC"/>
    <w:rsid w:val="004C560A"/>
    <w:rsid w:val="004C5A3B"/>
    <w:rsid w:val="004C6DE0"/>
    <w:rsid w:val="004C6E86"/>
    <w:rsid w:val="004D0157"/>
    <w:rsid w:val="004D1A9A"/>
    <w:rsid w:val="004D2DDC"/>
    <w:rsid w:val="004D4448"/>
    <w:rsid w:val="004D46B8"/>
    <w:rsid w:val="004D47DD"/>
    <w:rsid w:val="004D4DFA"/>
    <w:rsid w:val="004D4F21"/>
    <w:rsid w:val="004D7106"/>
    <w:rsid w:val="004E1845"/>
    <w:rsid w:val="004E4246"/>
    <w:rsid w:val="004E4A48"/>
    <w:rsid w:val="004E65AA"/>
    <w:rsid w:val="004E7EFC"/>
    <w:rsid w:val="004E7FF7"/>
    <w:rsid w:val="004F04F6"/>
    <w:rsid w:val="004F207D"/>
    <w:rsid w:val="004F20FC"/>
    <w:rsid w:val="004F4626"/>
    <w:rsid w:val="004F7B82"/>
    <w:rsid w:val="00500A88"/>
    <w:rsid w:val="00500D30"/>
    <w:rsid w:val="00502196"/>
    <w:rsid w:val="005024D3"/>
    <w:rsid w:val="005052D1"/>
    <w:rsid w:val="005064DE"/>
    <w:rsid w:val="0050763F"/>
    <w:rsid w:val="005128BC"/>
    <w:rsid w:val="00512C13"/>
    <w:rsid w:val="005145D7"/>
    <w:rsid w:val="00516E5D"/>
    <w:rsid w:val="00517837"/>
    <w:rsid w:val="00517E1A"/>
    <w:rsid w:val="00520509"/>
    <w:rsid w:val="005224AF"/>
    <w:rsid w:val="00522B98"/>
    <w:rsid w:val="005244AA"/>
    <w:rsid w:val="00524CA0"/>
    <w:rsid w:val="00530EAD"/>
    <w:rsid w:val="00531482"/>
    <w:rsid w:val="00532AD8"/>
    <w:rsid w:val="005337F8"/>
    <w:rsid w:val="00535B54"/>
    <w:rsid w:val="005369C6"/>
    <w:rsid w:val="00537917"/>
    <w:rsid w:val="005427C5"/>
    <w:rsid w:val="00542B9E"/>
    <w:rsid w:val="0054367D"/>
    <w:rsid w:val="00543924"/>
    <w:rsid w:val="00545180"/>
    <w:rsid w:val="00545EEA"/>
    <w:rsid w:val="00546CA8"/>
    <w:rsid w:val="0054775E"/>
    <w:rsid w:val="005511CB"/>
    <w:rsid w:val="00551D4C"/>
    <w:rsid w:val="005555C3"/>
    <w:rsid w:val="005559F3"/>
    <w:rsid w:val="005561B5"/>
    <w:rsid w:val="00557AAA"/>
    <w:rsid w:val="00560C6D"/>
    <w:rsid w:val="005617E3"/>
    <w:rsid w:val="005643EE"/>
    <w:rsid w:val="00564874"/>
    <w:rsid w:val="005666A0"/>
    <w:rsid w:val="0056708B"/>
    <w:rsid w:val="00572DB6"/>
    <w:rsid w:val="00572FF7"/>
    <w:rsid w:val="005757F4"/>
    <w:rsid w:val="005766E7"/>
    <w:rsid w:val="00577277"/>
    <w:rsid w:val="00577A05"/>
    <w:rsid w:val="00580F88"/>
    <w:rsid w:val="0058150C"/>
    <w:rsid w:val="00581BA4"/>
    <w:rsid w:val="005822D3"/>
    <w:rsid w:val="00583517"/>
    <w:rsid w:val="00583788"/>
    <w:rsid w:val="005854A2"/>
    <w:rsid w:val="00586FA2"/>
    <w:rsid w:val="00587434"/>
    <w:rsid w:val="00592F08"/>
    <w:rsid w:val="00593DA3"/>
    <w:rsid w:val="00594238"/>
    <w:rsid w:val="0059461D"/>
    <w:rsid w:val="005956CF"/>
    <w:rsid w:val="00596AD4"/>
    <w:rsid w:val="005979C9"/>
    <w:rsid w:val="005A131C"/>
    <w:rsid w:val="005A17E0"/>
    <w:rsid w:val="005A1AFB"/>
    <w:rsid w:val="005A4144"/>
    <w:rsid w:val="005A4B7C"/>
    <w:rsid w:val="005A5590"/>
    <w:rsid w:val="005A798E"/>
    <w:rsid w:val="005B24ED"/>
    <w:rsid w:val="005B26B6"/>
    <w:rsid w:val="005B3585"/>
    <w:rsid w:val="005B3DC3"/>
    <w:rsid w:val="005B4EF9"/>
    <w:rsid w:val="005B5A10"/>
    <w:rsid w:val="005B5B3C"/>
    <w:rsid w:val="005B76A1"/>
    <w:rsid w:val="005C107D"/>
    <w:rsid w:val="005C13C9"/>
    <w:rsid w:val="005C13FF"/>
    <w:rsid w:val="005C2C0C"/>
    <w:rsid w:val="005C340F"/>
    <w:rsid w:val="005C3ABA"/>
    <w:rsid w:val="005C4A92"/>
    <w:rsid w:val="005C4BE3"/>
    <w:rsid w:val="005C534D"/>
    <w:rsid w:val="005C719D"/>
    <w:rsid w:val="005D0156"/>
    <w:rsid w:val="005D0766"/>
    <w:rsid w:val="005D0A70"/>
    <w:rsid w:val="005D0CBF"/>
    <w:rsid w:val="005D2D9D"/>
    <w:rsid w:val="005D4975"/>
    <w:rsid w:val="005D4EDA"/>
    <w:rsid w:val="005D63ED"/>
    <w:rsid w:val="005D7075"/>
    <w:rsid w:val="005D7461"/>
    <w:rsid w:val="005D79E7"/>
    <w:rsid w:val="005E0487"/>
    <w:rsid w:val="005E0C39"/>
    <w:rsid w:val="005E122C"/>
    <w:rsid w:val="005E1816"/>
    <w:rsid w:val="005E1E45"/>
    <w:rsid w:val="005E2020"/>
    <w:rsid w:val="005E2638"/>
    <w:rsid w:val="005E3D56"/>
    <w:rsid w:val="005E3DC4"/>
    <w:rsid w:val="005E4FE4"/>
    <w:rsid w:val="005E5032"/>
    <w:rsid w:val="005E5DF7"/>
    <w:rsid w:val="005E734E"/>
    <w:rsid w:val="005E7ECA"/>
    <w:rsid w:val="005F0E4E"/>
    <w:rsid w:val="005F1761"/>
    <w:rsid w:val="005F2C77"/>
    <w:rsid w:val="005F4DDC"/>
    <w:rsid w:val="005F4ED7"/>
    <w:rsid w:val="005F6658"/>
    <w:rsid w:val="005F78DE"/>
    <w:rsid w:val="00602AA4"/>
    <w:rsid w:val="006052B6"/>
    <w:rsid w:val="006065BB"/>
    <w:rsid w:val="00606743"/>
    <w:rsid w:val="00606B05"/>
    <w:rsid w:val="00611762"/>
    <w:rsid w:val="00611949"/>
    <w:rsid w:val="006119B3"/>
    <w:rsid w:val="00611F38"/>
    <w:rsid w:val="00612CEC"/>
    <w:rsid w:val="00612F39"/>
    <w:rsid w:val="006139F8"/>
    <w:rsid w:val="00615602"/>
    <w:rsid w:val="00616639"/>
    <w:rsid w:val="006169C2"/>
    <w:rsid w:val="00617BB6"/>
    <w:rsid w:val="0062078D"/>
    <w:rsid w:val="00620EA0"/>
    <w:rsid w:val="00621B57"/>
    <w:rsid w:val="0062218A"/>
    <w:rsid w:val="006221F7"/>
    <w:rsid w:val="006222C8"/>
    <w:rsid w:val="00623905"/>
    <w:rsid w:val="00624272"/>
    <w:rsid w:val="00624508"/>
    <w:rsid w:val="0062490B"/>
    <w:rsid w:val="00624B60"/>
    <w:rsid w:val="00625D1E"/>
    <w:rsid w:val="00626158"/>
    <w:rsid w:val="0063161E"/>
    <w:rsid w:val="006330A6"/>
    <w:rsid w:val="0063438A"/>
    <w:rsid w:val="00634536"/>
    <w:rsid w:val="0063466D"/>
    <w:rsid w:val="0063746B"/>
    <w:rsid w:val="00637747"/>
    <w:rsid w:val="00641042"/>
    <w:rsid w:val="0064212A"/>
    <w:rsid w:val="006524D9"/>
    <w:rsid w:val="00652894"/>
    <w:rsid w:val="00652F9F"/>
    <w:rsid w:val="00654249"/>
    <w:rsid w:val="00654E2D"/>
    <w:rsid w:val="006555AA"/>
    <w:rsid w:val="00656252"/>
    <w:rsid w:val="0065731F"/>
    <w:rsid w:val="0065741F"/>
    <w:rsid w:val="006603AF"/>
    <w:rsid w:val="00662964"/>
    <w:rsid w:val="0066338C"/>
    <w:rsid w:val="006646AE"/>
    <w:rsid w:val="006655CC"/>
    <w:rsid w:val="00666EE3"/>
    <w:rsid w:val="00667854"/>
    <w:rsid w:val="00672CB4"/>
    <w:rsid w:val="006731E7"/>
    <w:rsid w:val="00673C3E"/>
    <w:rsid w:val="00674A28"/>
    <w:rsid w:val="006761E1"/>
    <w:rsid w:val="006763B2"/>
    <w:rsid w:val="00676AE6"/>
    <w:rsid w:val="00677E55"/>
    <w:rsid w:val="00681323"/>
    <w:rsid w:val="00682F4F"/>
    <w:rsid w:val="00686316"/>
    <w:rsid w:val="0069104A"/>
    <w:rsid w:val="0069111E"/>
    <w:rsid w:val="00691778"/>
    <w:rsid w:val="006924CF"/>
    <w:rsid w:val="00692B3B"/>
    <w:rsid w:val="006935F1"/>
    <w:rsid w:val="006959DC"/>
    <w:rsid w:val="00696AD4"/>
    <w:rsid w:val="006A06D1"/>
    <w:rsid w:val="006A09C3"/>
    <w:rsid w:val="006A14DE"/>
    <w:rsid w:val="006A2AAF"/>
    <w:rsid w:val="006A396D"/>
    <w:rsid w:val="006A3E37"/>
    <w:rsid w:val="006A3F18"/>
    <w:rsid w:val="006A52FB"/>
    <w:rsid w:val="006A53E1"/>
    <w:rsid w:val="006A5B8F"/>
    <w:rsid w:val="006A71F4"/>
    <w:rsid w:val="006B0228"/>
    <w:rsid w:val="006B037A"/>
    <w:rsid w:val="006B1282"/>
    <w:rsid w:val="006B2402"/>
    <w:rsid w:val="006B2F60"/>
    <w:rsid w:val="006B3EEC"/>
    <w:rsid w:val="006B439C"/>
    <w:rsid w:val="006B4C0F"/>
    <w:rsid w:val="006B4D8E"/>
    <w:rsid w:val="006B5178"/>
    <w:rsid w:val="006B7A8C"/>
    <w:rsid w:val="006C00FE"/>
    <w:rsid w:val="006C0E8C"/>
    <w:rsid w:val="006C302A"/>
    <w:rsid w:val="006C40AB"/>
    <w:rsid w:val="006C52C7"/>
    <w:rsid w:val="006C5F9E"/>
    <w:rsid w:val="006C6297"/>
    <w:rsid w:val="006C7743"/>
    <w:rsid w:val="006D0E28"/>
    <w:rsid w:val="006D1F28"/>
    <w:rsid w:val="006D2544"/>
    <w:rsid w:val="006D3C6A"/>
    <w:rsid w:val="006D526E"/>
    <w:rsid w:val="006D60CF"/>
    <w:rsid w:val="006D7190"/>
    <w:rsid w:val="006E1463"/>
    <w:rsid w:val="006E17BB"/>
    <w:rsid w:val="006E18AC"/>
    <w:rsid w:val="006E201E"/>
    <w:rsid w:val="006E3374"/>
    <w:rsid w:val="006E5592"/>
    <w:rsid w:val="006E7390"/>
    <w:rsid w:val="006E79E7"/>
    <w:rsid w:val="006F0F3F"/>
    <w:rsid w:val="006F2B18"/>
    <w:rsid w:val="006F4536"/>
    <w:rsid w:val="006F4F52"/>
    <w:rsid w:val="006F5919"/>
    <w:rsid w:val="0070249A"/>
    <w:rsid w:val="007031B8"/>
    <w:rsid w:val="007044E5"/>
    <w:rsid w:val="00704DC5"/>
    <w:rsid w:val="007052F2"/>
    <w:rsid w:val="00706F13"/>
    <w:rsid w:val="00706FF1"/>
    <w:rsid w:val="007073FD"/>
    <w:rsid w:val="00710285"/>
    <w:rsid w:val="007110DE"/>
    <w:rsid w:val="00711416"/>
    <w:rsid w:val="00711FBB"/>
    <w:rsid w:val="0071324C"/>
    <w:rsid w:val="00714134"/>
    <w:rsid w:val="007151AB"/>
    <w:rsid w:val="00716574"/>
    <w:rsid w:val="00716C7C"/>
    <w:rsid w:val="007176FE"/>
    <w:rsid w:val="00717992"/>
    <w:rsid w:val="00720B26"/>
    <w:rsid w:val="00724692"/>
    <w:rsid w:val="00724FAC"/>
    <w:rsid w:val="00726B5B"/>
    <w:rsid w:val="00730762"/>
    <w:rsid w:val="00730A25"/>
    <w:rsid w:val="00731062"/>
    <w:rsid w:val="007312CD"/>
    <w:rsid w:val="00731D32"/>
    <w:rsid w:val="0073372B"/>
    <w:rsid w:val="007338F6"/>
    <w:rsid w:val="0073461B"/>
    <w:rsid w:val="00737114"/>
    <w:rsid w:val="00737E4F"/>
    <w:rsid w:val="00740584"/>
    <w:rsid w:val="00743515"/>
    <w:rsid w:val="00743926"/>
    <w:rsid w:val="00743F7C"/>
    <w:rsid w:val="007445BD"/>
    <w:rsid w:val="00744BC6"/>
    <w:rsid w:val="00744FEE"/>
    <w:rsid w:val="00746982"/>
    <w:rsid w:val="00746A44"/>
    <w:rsid w:val="007477A5"/>
    <w:rsid w:val="00751181"/>
    <w:rsid w:val="00751E8D"/>
    <w:rsid w:val="00751F0B"/>
    <w:rsid w:val="00753FB3"/>
    <w:rsid w:val="00754C16"/>
    <w:rsid w:val="00755202"/>
    <w:rsid w:val="00756B9F"/>
    <w:rsid w:val="00757D54"/>
    <w:rsid w:val="007651EB"/>
    <w:rsid w:val="00766ED9"/>
    <w:rsid w:val="00767857"/>
    <w:rsid w:val="00770F54"/>
    <w:rsid w:val="007713C8"/>
    <w:rsid w:val="00772ABE"/>
    <w:rsid w:val="00772B35"/>
    <w:rsid w:val="007737D8"/>
    <w:rsid w:val="007755AE"/>
    <w:rsid w:val="00777AD6"/>
    <w:rsid w:val="007803CD"/>
    <w:rsid w:val="007810FB"/>
    <w:rsid w:val="00782EE6"/>
    <w:rsid w:val="0078398C"/>
    <w:rsid w:val="0078698D"/>
    <w:rsid w:val="007910A7"/>
    <w:rsid w:val="0079146A"/>
    <w:rsid w:val="00792037"/>
    <w:rsid w:val="00792CDC"/>
    <w:rsid w:val="0079309E"/>
    <w:rsid w:val="007955A2"/>
    <w:rsid w:val="00796D5B"/>
    <w:rsid w:val="007A1375"/>
    <w:rsid w:val="007A1AA3"/>
    <w:rsid w:val="007A2AC5"/>
    <w:rsid w:val="007A3AD4"/>
    <w:rsid w:val="007A52EC"/>
    <w:rsid w:val="007A66B7"/>
    <w:rsid w:val="007A6D7C"/>
    <w:rsid w:val="007B0F71"/>
    <w:rsid w:val="007B1436"/>
    <w:rsid w:val="007B2A9D"/>
    <w:rsid w:val="007B6014"/>
    <w:rsid w:val="007B6662"/>
    <w:rsid w:val="007C04EE"/>
    <w:rsid w:val="007C3B6F"/>
    <w:rsid w:val="007C539D"/>
    <w:rsid w:val="007C562C"/>
    <w:rsid w:val="007C6A2D"/>
    <w:rsid w:val="007D150B"/>
    <w:rsid w:val="007D3501"/>
    <w:rsid w:val="007D417E"/>
    <w:rsid w:val="007D4849"/>
    <w:rsid w:val="007D6302"/>
    <w:rsid w:val="007E0836"/>
    <w:rsid w:val="007E14CD"/>
    <w:rsid w:val="007E1F29"/>
    <w:rsid w:val="007E2407"/>
    <w:rsid w:val="007E2505"/>
    <w:rsid w:val="007E403A"/>
    <w:rsid w:val="007E4A5D"/>
    <w:rsid w:val="007E4C47"/>
    <w:rsid w:val="007E6F0F"/>
    <w:rsid w:val="007F1E2F"/>
    <w:rsid w:val="007F2423"/>
    <w:rsid w:val="007F261C"/>
    <w:rsid w:val="007F2817"/>
    <w:rsid w:val="007F492A"/>
    <w:rsid w:val="007F5E09"/>
    <w:rsid w:val="007F7E8F"/>
    <w:rsid w:val="00800ABC"/>
    <w:rsid w:val="00801864"/>
    <w:rsid w:val="00801BCD"/>
    <w:rsid w:val="00802A6C"/>
    <w:rsid w:val="00803852"/>
    <w:rsid w:val="00804661"/>
    <w:rsid w:val="00805FE4"/>
    <w:rsid w:val="00811014"/>
    <w:rsid w:val="00812E64"/>
    <w:rsid w:val="00812EF3"/>
    <w:rsid w:val="00814C6B"/>
    <w:rsid w:val="008246A2"/>
    <w:rsid w:val="0082585C"/>
    <w:rsid w:val="008264FB"/>
    <w:rsid w:val="00826982"/>
    <w:rsid w:val="008276CA"/>
    <w:rsid w:val="0083104A"/>
    <w:rsid w:val="00831E95"/>
    <w:rsid w:val="00832B90"/>
    <w:rsid w:val="00832ECC"/>
    <w:rsid w:val="00832FE8"/>
    <w:rsid w:val="008334F6"/>
    <w:rsid w:val="008340F5"/>
    <w:rsid w:val="008346EA"/>
    <w:rsid w:val="00834DC7"/>
    <w:rsid w:val="00835593"/>
    <w:rsid w:val="00835A5D"/>
    <w:rsid w:val="00835B31"/>
    <w:rsid w:val="00836BBD"/>
    <w:rsid w:val="00836F14"/>
    <w:rsid w:val="008375E5"/>
    <w:rsid w:val="0084193A"/>
    <w:rsid w:val="008430AF"/>
    <w:rsid w:val="00844C07"/>
    <w:rsid w:val="00845CB1"/>
    <w:rsid w:val="00846D05"/>
    <w:rsid w:val="00850150"/>
    <w:rsid w:val="00852128"/>
    <w:rsid w:val="00853AEF"/>
    <w:rsid w:val="0085457D"/>
    <w:rsid w:val="008547A1"/>
    <w:rsid w:val="0085759D"/>
    <w:rsid w:val="008600ED"/>
    <w:rsid w:val="00860A59"/>
    <w:rsid w:val="008649BE"/>
    <w:rsid w:val="00866515"/>
    <w:rsid w:val="00870F62"/>
    <w:rsid w:val="0087179A"/>
    <w:rsid w:val="00873ADE"/>
    <w:rsid w:val="0087484D"/>
    <w:rsid w:val="00875056"/>
    <w:rsid w:val="008777B6"/>
    <w:rsid w:val="00877FCA"/>
    <w:rsid w:val="00880460"/>
    <w:rsid w:val="00880971"/>
    <w:rsid w:val="0088211B"/>
    <w:rsid w:val="0088239A"/>
    <w:rsid w:val="00882413"/>
    <w:rsid w:val="00883303"/>
    <w:rsid w:val="00883A45"/>
    <w:rsid w:val="008853FE"/>
    <w:rsid w:val="00886423"/>
    <w:rsid w:val="008874E5"/>
    <w:rsid w:val="00887638"/>
    <w:rsid w:val="00894162"/>
    <w:rsid w:val="0089528B"/>
    <w:rsid w:val="0089644B"/>
    <w:rsid w:val="008A045F"/>
    <w:rsid w:val="008A21C8"/>
    <w:rsid w:val="008A26EC"/>
    <w:rsid w:val="008A485F"/>
    <w:rsid w:val="008A61DA"/>
    <w:rsid w:val="008A76F8"/>
    <w:rsid w:val="008B0517"/>
    <w:rsid w:val="008B2452"/>
    <w:rsid w:val="008B4157"/>
    <w:rsid w:val="008C1474"/>
    <w:rsid w:val="008C363B"/>
    <w:rsid w:val="008C369C"/>
    <w:rsid w:val="008C4F28"/>
    <w:rsid w:val="008C5663"/>
    <w:rsid w:val="008C5C96"/>
    <w:rsid w:val="008C68C2"/>
    <w:rsid w:val="008C7778"/>
    <w:rsid w:val="008C7F2F"/>
    <w:rsid w:val="008D01E1"/>
    <w:rsid w:val="008D1943"/>
    <w:rsid w:val="008D331D"/>
    <w:rsid w:val="008D3825"/>
    <w:rsid w:val="008D3D45"/>
    <w:rsid w:val="008D3F86"/>
    <w:rsid w:val="008D40DD"/>
    <w:rsid w:val="008D50FF"/>
    <w:rsid w:val="008D58B4"/>
    <w:rsid w:val="008D5B5C"/>
    <w:rsid w:val="008D66A0"/>
    <w:rsid w:val="008D67E7"/>
    <w:rsid w:val="008D7B8A"/>
    <w:rsid w:val="008E062F"/>
    <w:rsid w:val="008E4E8F"/>
    <w:rsid w:val="008E627A"/>
    <w:rsid w:val="008E6FAA"/>
    <w:rsid w:val="008E6FB9"/>
    <w:rsid w:val="008E785B"/>
    <w:rsid w:val="008E7941"/>
    <w:rsid w:val="008F04E9"/>
    <w:rsid w:val="008F1320"/>
    <w:rsid w:val="008F1C57"/>
    <w:rsid w:val="008F3AD6"/>
    <w:rsid w:val="008F4F89"/>
    <w:rsid w:val="00901E4C"/>
    <w:rsid w:val="0090555C"/>
    <w:rsid w:val="0090575C"/>
    <w:rsid w:val="0090718E"/>
    <w:rsid w:val="0091103D"/>
    <w:rsid w:val="00912026"/>
    <w:rsid w:val="009120F6"/>
    <w:rsid w:val="009140AA"/>
    <w:rsid w:val="00921421"/>
    <w:rsid w:val="00921667"/>
    <w:rsid w:val="00925221"/>
    <w:rsid w:val="00925C1D"/>
    <w:rsid w:val="009261CF"/>
    <w:rsid w:val="00926F1D"/>
    <w:rsid w:val="00927142"/>
    <w:rsid w:val="009337F0"/>
    <w:rsid w:val="00934668"/>
    <w:rsid w:val="00935685"/>
    <w:rsid w:val="00935A94"/>
    <w:rsid w:val="00940045"/>
    <w:rsid w:val="0094051B"/>
    <w:rsid w:val="00940B4A"/>
    <w:rsid w:val="009411D8"/>
    <w:rsid w:val="009414D1"/>
    <w:rsid w:val="0094198D"/>
    <w:rsid w:val="009425A7"/>
    <w:rsid w:val="009429CC"/>
    <w:rsid w:val="00942A37"/>
    <w:rsid w:val="009430D4"/>
    <w:rsid w:val="009444B3"/>
    <w:rsid w:val="00946CF0"/>
    <w:rsid w:val="00947138"/>
    <w:rsid w:val="00947F38"/>
    <w:rsid w:val="0095188B"/>
    <w:rsid w:val="00952123"/>
    <w:rsid w:val="00952A57"/>
    <w:rsid w:val="00953C32"/>
    <w:rsid w:val="00955EA1"/>
    <w:rsid w:val="00956DA9"/>
    <w:rsid w:val="0095731A"/>
    <w:rsid w:val="00960E91"/>
    <w:rsid w:val="009624F8"/>
    <w:rsid w:val="0096354D"/>
    <w:rsid w:val="00966CEC"/>
    <w:rsid w:val="00966DAD"/>
    <w:rsid w:val="00966DE9"/>
    <w:rsid w:val="00967EC0"/>
    <w:rsid w:val="00970056"/>
    <w:rsid w:val="009701F0"/>
    <w:rsid w:val="009707C7"/>
    <w:rsid w:val="00972390"/>
    <w:rsid w:val="009727D1"/>
    <w:rsid w:val="00972BED"/>
    <w:rsid w:val="00973F71"/>
    <w:rsid w:val="00974702"/>
    <w:rsid w:val="009776BA"/>
    <w:rsid w:val="00981AFC"/>
    <w:rsid w:val="00981F01"/>
    <w:rsid w:val="009823F3"/>
    <w:rsid w:val="00982B44"/>
    <w:rsid w:val="0098485F"/>
    <w:rsid w:val="00984E4D"/>
    <w:rsid w:val="009857F6"/>
    <w:rsid w:val="00986BB7"/>
    <w:rsid w:val="00986D56"/>
    <w:rsid w:val="00987874"/>
    <w:rsid w:val="00991A26"/>
    <w:rsid w:val="00992AFC"/>
    <w:rsid w:val="00992F52"/>
    <w:rsid w:val="009932C4"/>
    <w:rsid w:val="00994227"/>
    <w:rsid w:val="009960AB"/>
    <w:rsid w:val="00997165"/>
    <w:rsid w:val="009A0B7A"/>
    <w:rsid w:val="009A2020"/>
    <w:rsid w:val="009A3527"/>
    <w:rsid w:val="009A40F5"/>
    <w:rsid w:val="009A4B07"/>
    <w:rsid w:val="009A4F88"/>
    <w:rsid w:val="009A5234"/>
    <w:rsid w:val="009A5D0C"/>
    <w:rsid w:val="009A60CC"/>
    <w:rsid w:val="009A6902"/>
    <w:rsid w:val="009B13FB"/>
    <w:rsid w:val="009B2C91"/>
    <w:rsid w:val="009B2D7F"/>
    <w:rsid w:val="009B3110"/>
    <w:rsid w:val="009B367E"/>
    <w:rsid w:val="009B62EB"/>
    <w:rsid w:val="009B6FFB"/>
    <w:rsid w:val="009C10C5"/>
    <w:rsid w:val="009C15E2"/>
    <w:rsid w:val="009C174A"/>
    <w:rsid w:val="009C39FA"/>
    <w:rsid w:val="009C4399"/>
    <w:rsid w:val="009C5BB7"/>
    <w:rsid w:val="009C6B56"/>
    <w:rsid w:val="009C7CB5"/>
    <w:rsid w:val="009D0BBE"/>
    <w:rsid w:val="009D555B"/>
    <w:rsid w:val="009D59DB"/>
    <w:rsid w:val="009D6788"/>
    <w:rsid w:val="009D7E4B"/>
    <w:rsid w:val="009E0512"/>
    <w:rsid w:val="009E18D9"/>
    <w:rsid w:val="009E1A6D"/>
    <w:rsid w:val="009E1E19"/>
    <w:rsid w:val="009E25B3"/>
    <w:rsid w:val="009E2B45"/>
    <w:rsid w:val="009E371F"/>
    <w:rsid w:val="009E52D5"/>
    <w:rsid w:val="009E5579"/>
    <w:rsid w:val="009E571B"/>
    <w:rsid w:val="009F20A7"/>
    <w:rsid w:val="009F296C"/>
    <w:rsid w:val="009F2CD2"/>
    <w:rsid w:val="009F3505"/>
    <w:rsid w:val="009F440A"/>
    <w:rsid w:val="009F516D"/>
    <w:rsid w:val="009F61C4"/>
    <w:rsid w:val="009F685E"/>
    <w:rsid w:val="009F6F2C"/>
    <w:rsid w:val="00A0044E"/>
    <w:rsid w:val="00A01778"/>
    <w:rsid w:val="00A01E4A"/>
    <w:rsid w:val="00A0248D"/>
    <w:rsid w:val="00A03BC3"/>
    <w:rsid w:val="00A043DE"/>
    <w:rsid w:val="00A0531E"/>
    <w:rsid w:val="00A07718"/>
    <w:rsid w:val="00A10051"/>
    <w:rsid w:val="00A10555"/>
    <w:rsid w:val="00A1166B"/>
    <w:rsid w:val="00A11772"/>
    <w:rsid w:val="00A118CE"/>
    <w:rsid w:val="00A1200B"/>
    <w:rsid w:val="00A120BC"/>
    <w:rsid w:val="00A1250D"/>
    <w:rsid w:val="00A13472"/>
    <w:rsid w:val="00A13B59"/>
    <w:rsid w:val="00A1502B"/>
    <w:rsid w:val="00A15533"/>
    <w:rsid w:val="00A160CA"/>
    <w:rsid w:val="00A16AB1"/>
    <w:rsid w:val="00A229B2"/>
    <w:rsid w:val="00A24A4F"/>
    <w:rsid w:val="00A2641E"/>
    <w:rsid w:val="00A2756D"/>
    <w:rsid w:val="00A300A2"/>
    <w:rsid w:val="00A30615"/>
    <w:rsid w:val="00A32737"/>
    <w:rsid w:val="00A340D2"/>
    <w:rsid w:val="00A34A58"/>
    <w:rsid w:val="00A34C4A"/>
    <w:rsid w:val="00A35A8A"/>
    <w:rsid w:val="00A35CEB"/>
    <w:rsid w:val="00A36AB4"/>
    <w:rsid w:val="00A36F9B"/>
    <w:rsid w:val="00A42DAD"/>
    <w:rsid w:val="00A43258"/>
    <w:rsid w:val="00A434B2"/>
    <w:rsid w:val="00A467E3"/>
    <w:rsid w:val="00A46FD1"/>
    <w:rsid w:val="00A5005C"/>
    <w:rsid w:val="00A507DC"/>
    <w:rsid w:val="00A512CE"/>
    <w:rsid w:val="00A513DB"/>
    <w:rsid w:val="00A51933"/>
    <w:rsid w:val="00A55B16"/>
    <w:rsid w:val="00A561B1"/>
    <w:rsid w:val="00A563E2"/>
    <w:rsid w:val="00A5721C"/>
    <w:rsid w:val="00A574ED"/>
    <w:rsid w:val="00A575D2"/>
    <w:rsid w:val="00A609A6"/>
    <w:rsid w:val="00A61C96"/>
    <w:rsid w:val="00A6245A"/>
    <w:rsid w:val="00A6475C"/>
    <w:rsid w:val="00A66E52"/>
    <w:rsid w:val="00A67B65"/>
    <w:rsid w:val="00A72B37"/>
    <w:rsid w:val="00A72FD7"/>
    <w:rsid w:val="00A7363D"/>
    <w:rsid w:val="00A740F4"/>
    <w:rsid w:val="00A74E89"/>
    <w:rsid w:val="00A7637C"/>
    <w:rsid w:val="00A77924"/>
    <w:rsid w:val="00A8051A"/>
    <w:rsid w:val="00A819B1"/>
    <w:rsid w:val="00A81A70"/>
    <w:rsid w:val="00A82878"/>
    <w:rsid w:val="00A82BBA"/>
    <w:rsid w:val="00A85489"/>
    <w:rsid w:val="00A85779"/>
    <w:rsid w:val="00A8597E"/>
    <w:rsid w:val="00A8603D"/>
    <w:rsid w:val="00A873EA"/>
    <w:rsid w:val="00A92F3B"/>
    <w:rsid w:val="00A93230"/>
    <w:rsid w:val="00A9464B"/>
    <w:rsid w:val="00A95B4C"/>
    <w:rsid w:val="00A95FCD"/>
    <w:rsid w:val="00A965CE"/>
    <w:rsid w:val="00A97401"/>
    <w:rsid w:val="00AA0939"/>
    <w:rsid w:val="00AA3EEC"/>
    <w:rsid w:val="00AA4892"/>
    <w:rsid w:val="00AA5957"/>
    <w:rsid w:val="00AA5F6D"/>
    <w:rsid w:val="00AA7C2E"/>
    <w:rsid w:val="00AB4255"/>
    <w:rsid w:val="00AB4384"/>
    <w:rsid w:val="00AB46A4"/>
    <w:rsid w:val="00AB47D1"/>
    <w:rsid w:val="00AB6E4E"/>
    <w:rsid w:val="00AB6EA8"/>
    <w:rsid w:val="00AB6EE0"/>
    <w:rsid w:val="00AB7124"/>
    <w:rsid w:val="00AC15F0"/>
    <w:rsid w:val="00AC3383"/>
    <w:rsid w:val="00AC3853"/>
    <w:rsid w:val="00AC3B67"/>
    <w:rsid w:val="00AC4F5B"/>
    <w:rsid w:val="00AC5F30"/>
    <w:rsid w:val="00AC6787"/>
    <w:rsid w:val="00AC67E5"/>
    <w:rsid w:val="00AC772F"/>
    <w:rsid w:val="00AD2BF4"/>
    <w:rsid w:val="00AD41BC"/>
    <w:rsid w:val="00AD476F"/>
    <w:rsid w:val="00AD48BE"/>
    <w:rsid w:val="00AD4F2C"/>
    <w:rsid w:val="00AD5679"/>
    <w:rsid w:val="00AD592F"/>
    <w:rsid w:val="00AD6406"/>
    <w:rsid w:val="00AD6E90"/>
    <w:rsid w:val="00AD71E5"/>
    <w:rsid w:val="00AE08D4"/>
    <w:rsid w:val="00AE314B"/>
    <w:rsid w:val="00AE3B6E"/>
    <w:rsid w:val="00AE408D"/>
    <w:rsid w:val="00AE4C24"/>
    <w:rsid w:val="00AE5AD4"/>
    <w:rsid w:val="00AE5B02"/>
    <w:rsid w:val="00AF1DAD"/>
    <w:rsid w:val="00AF2603"/>
    <w:rsid w:val="00AF3B99"/>
    <w:rsid w:val="00AF3BC7"/>
    <w:rsid w:val="00AF4577"/>
    <w:rsid w:val="00AF594D"/>
    <w:rsid w:val="00AF660C"/>
    <w:rsid w:val="00AF6831"/>
    <w:rsid w:val="00B00F92"/>
    <w:rsid w:val="00B012D8"/>
    <w:rsid w:val="00B024E3"/>
    <w:rsid w:val="00B02640"/>
    <w:rsid w:val="00B02A20"/>
    <w:rsid w:val="00B046CF"/>
    <w:rsid w:val="00B04A1E"/>
    <w:rsid w:val="00B065DF"/>
    <w:rsid w:val="00B070C3"/>
    <w:rsid w:val="00B101E9"/>
    <w:rsid w:val="00B10CAF"/>
    <w:rsid w:val="00B10E87"/>
    <w:rsid w:val="00B11008"/>
    <w:rsid w:val="00B11010"/>
    <w:rsid w:val="00B112CA"/>
    <w:rsid w:val="00B12323"/>
    <w:rsid w:val="00B12818"/>
    <w:rsid w:val="00B140C3"/>
    <w:rsid w:val="00B14B2C"/>
    <w:rsid w:val="00B14C76"/>
    <w:rsid w:val="00B157F0"/>
    <w:rsid w:val="00B15A99"/>
    <w:rsid w:val="00B16FAE"/>
    <w:rsid w:val="00B20342"/>
    <w:rsid w:val="00B21CA5"/>
    <w:rsid w:val="00B22160"/>
    <w:rsid w:val="00B2279F"/>
    <w:rsid w:val="00B2303E"/>
    <w:rsid w:val="00B24789"/>
    <w:rsid w:val="00B274D4"/>
    <w:rsid w:val="00B309B8"/>
    <w:rsid w:val="00B311F6"/>
    <w:rsid w:val="00B31D27"/>
    <w:rsid w:val="00B32E12"/>
    <w:rsid w:val="00B34566"/>
    <w:rsid w:val="00B351A4"/>
    <w:rsid w:val="00B36475"/>
    <w:rsid w:val="00B37D23"/>
    <w:rsid w:val="00B40675"/>
    <w:rsid w:val="00B43049"/>
    <w:rsid w:val="00B4372D"/>
    <w:rsid w:val="00B44171"/>
    <w:rsid w:val="00B45423"/>
    <w:rsid w:val="00B45787"/>
    <w:rsid w:val="00B4625A"/>
    <w:rsid w:val="00B471CA"/>
    <w:rsid w:val="00B47867"/>
    <w:rsid w:val="00B508AA"/>
    <w:rsid w:val="00B528F5"/>
    <w:rsid w:val="00B53E0C"/>
    <w:rsid w:val="00B5402E"/>
    <w:rsid w:val="00B54C88"/>
    <w:rsid w:val="00B564FE"/>
    <w:rsid w:val="00B57A19"/>
    <w:rsid w:val="00B6225B"/>
    <w:rsid w:val="00B62A53"/>
    <w:rsid w:val="00B62DF4"/>
    <w:rsid w:val="00B63644"/>
    <w:rsid w:val="00B64472"/>
    <w:rsid w:val="00B65555"/>
    <w:rsid w:val="00B65763"/>
    <w:rsid w:val="00B66050"/>
    <w:rsid w:val="00B66461"/>
    <w:rsid w:val="00B67097"/>
    <w:rsid w:val="00B705EC"/>
    <w:rsid w:val="00B70C09"/>
    <w:rsid w:val="00B70FB7"/>
    <w:rsid w:val="00B71153"/>
    <w:rsid w:val="00B71CF3"/>
    <w:rsid w:val="00B74FF1"/>
    <w:rsid w:val="00B77643"/>
    <w:rsid w:val="00B80CAA"/>
    <w:rsid w:val="00B8171C"/>
    <w:rsid w:val="00B81A7A"/>
    <w:rsid w:val="00B8264F"/>
    <w:rsid w:val="00B85AE0"/>
    <w:rsid w:val="00B85D64"/>
    <w:rsid w:val="00B864B1"/>
    <w:rsid w:val="00B8720B"/>
    <w:rsid w:val="00B87C27"/>
    <w:rsid w:val="00B918BC"/>
    <w:rsid w:val="00B91C6F"/>
    <w:rsid w:val="00B91F0B"/>
    <w:rsid w:val="00B92A23"/>
    <w:rsid w:val="00B946D6"/>
    <w:rsid w:val="00B94D54"/>
    <w:rsid w:val="00B976F7"/>
    <w:rsid w:val="00B97E70"/>
    <w:rsid w:val="00BA02D2"/>
    <w:rsid w:val="00BA33E0"/>
    <w:rsid w:val="00BA3B6E"/>
    <w:rsid w:val="00BB27B7"/>
    <w:rsid w:val="00BB2CF8"/>
    <w:rsid w:val="00BB2F64"/>
    <w:rsid w:val="00BB3231"/>
    <w:rsid w:val="00BB492A"/>
    <w:rsid w:val="00BB635D"/>
    <w:rsid w:val="00BC02AC"/>
    <w:rsid w:val="00BC094D"/>
    <w:rsid w:val="00BC0E90"/>
    <w:rsid w:val="00BC4E57"/>
    <w:rsid w:val="00BD090E"/>
    <w:rsid w:val="00BD127B"/>
    <w:rsid w:val="00BD2283"/>
    <w:rsid w:val="00BD2A2C"/>
    <w:rsid w:val="00BD43D8"/>
    <w:rsid w:val="00BE1428"/>
    <w:rsid w:val="00BE3DB1"/>
    <w:rsid w:val="00BE473B"/>
    <w:rsid w:val="00BE587E"/>
    <w:rsid w:val="00BE7505"/>
    <w:rsid w:val="00BE7C6B"/>
    <w:rsid w:val="00BE7E3C"/>
    <w:rsid w:val="00BF0034"/>
    <w:rsid w:val="00BF0453"/>
    <w:rsid w:val="00BF05E2"/>
    <w:rsid w:val="00BF0C4C"/>
    <w:rsid w:val="00BF0E40"/>
    <w:rsid w:val="00BF1F4F"/>
    <w:rsid w:val="00BF2547"/>
    <w:rsid w:val="00BF2A42"/>
    <w:rsid w:val="00BF39D9"/>
    <w:rsid w:val="00BF44FF"/>
    <w:rsid w:val="00BF46E2"/>
    <w:rsid w:val="00BF4955"/>
    <w:rsid w:val="00BF75F5"/>
    <w:rsid w:val="00C00026"/>
    <w:rsid w:val="00C0025D"/>
    <w:rsid w:val="00C00B15"/>
    <w:rsid w:val="00C027B2"/>
    <w:rsid w:val="00C0531F"/>
    <w:rsid w:val="00C0716D"/>
    <w:rsid w:val="00C117DB"/>
    <w:rsid w:val="00C13C2F"/>
    <w:rsid w:val="00C14346"/>
    <w:rsid w:val="00C14365"/>
    <w:rsid w:val="00C1480B"/>
    <w:rsid w:val="00C14C38"/>
    <w:rsid w:val="00C15837"/>
    <w:rsid w:val="00C1769D"/>
    <w:rsid w:val="00C20B5C"/>
    <w:rsid w:val="00C2169C"/>
    <w:rsid w:val="00C21734"/>
    <w:rsid w:val="00C23BFE"/>
    <w:rsid w:val="00C25275"/>
    <w:rsid w:val="00C25336"/>
    <w:rsid w:val="00C26A32"/>
    <w:rsid w:val="00C324AA"/>
    <w:rsid w:val="00C32A6D"/>
    <w:rsid w:val="00C32AC3"/>
    <w:rsid w:val="00C37439"/>
    <w:rsid w:val="00C378DF"/>
    <w:rsid w:val="00C408A0"/>
    <w:rsid w:val="00C415D4"/>
    <w:rsid w:val="00C42666"/>
    <w:rsid w:val="00C42B41"/>
    <w:rsid w:val="00C433D7"/>
    <w:rsid w:val="00C440C7"/>
    <w:rsid w:val="00C45CA7"/>
    <w:rsid w:val="00C45DF4"/>
    <w:rsid w:val="00C45EB4"/>
    <w:rsid w:val="00C45EFB"/>
    <w:rsid w:val="00C462F1"/>
    <w:rsid w:val="00C46AFC"/>
    <w:rsid w:val="00C47879"/>
    <w:rsid w:val="00C50A74"/>
    <w:rsid w:val="00C51744"/>
    <w:rsid w:val="00C540F0"/>
    <w:rsid w:val="00C561C0"/>
    <w:rsid w:val="00C57632"/>
    <w:rsid w:val="00C57D06"/>
    <w:rsid w:val="00C6328D"/>
    <w:rsid w:val="00C63E0F"/>
    <w:rsid w:val="00C64AFA"/>
    <w:rsid w:val="00C6683D"/>
    <w:rsid w:val="00C66BBA"/>
    <w:rsid w:val="00C71839"/>
    <w:rsid w:val="00C728B2"/>
    <w:rsid w:val="00C73E51"/>
    <w:rsid w:val="00C7489C"/>
    <w:rsid w:val="00C757AB"/>
    <w:rsid w:val="00C7613C"/>
    <w:rsid w:val="00C80E8D"/>
    <w:rsid w:val="00C81A5A"/>
    <w:rsid w:val="00C81B6F"/>
    <w:rsid w:val="00C83DA0"/>
    <w:rsid w:val="00C84193"/>
    <w:rsid w:val="00C85F9E"/>
    <w:rsid w:val="00C86186"/>
    <w:rsid w:val="00C86386"/>
    <w:rsid w:val="00C871E7"/>
    <w:rsid w:val="00C91FE4"/>
    <w:rsid w:val="00C938EF"/>
    <w:rsid w:val="00C954FF"/>
    <w:rsid w:val="00C968B7"/>
    <w:rsid w:val="00C96B4A"/>
    <w:rsid w:val="00CA0764"/>
    <w:rsid w:val="00CA2415"/>
    <w:rsid w:val="00CA269C"/>
    <w:rsid w:val="00CA2B2A"/>
    <w:rsid w:val="00CA3BEB"/>
    <w:rsid w:val="00CB1928"/>
    <w:rsid w:val="00CB1C70"/>
    <w:rsid w:val="00CB2E1C"/>
    <w:rsid w:val="00CB59E9"/>
    <w:rsid w:val="00CB7607"/>
    <w:rsid w:val="00CC1C6E"/>
    <w:rsid w:val="00CC24F0"/>
    <w:rsid w:val="00CC3AB2"/>
    <w:rsid w:val="00CC42FD"/>
    <w:rsid w:val="00CC440B"/>
    <w:rsid w:val="00CC707C"/>
    <w:rsid w:val="00CC7F94"/>
    <w:rsid w:val="00CD0D76"/>
    <w:rsid w:val="00CD0F3D"/>
    <w:rsid w:val="00CD165F"/>
    <w:rsid w:val="00CD21D0"/>
    <w:rsid w:val="00CD2B9D"/>
    <w:rsid w:val="00CD3454"/>
    <w:rsid w:val="00CD4CBC"/>
    <w:rsid w:val="00CD5A2C"/>
    <w:rsid w:val="00CD63E5"/>
    <w:rsid w:val="00CD6764"/>
    <w:rsid w:val="00CD6D24"/>
    <w:rsid w:val="00CD7740"/>
    <w:rsid w:val="00CE1250"/>
    <w:rsid w:val="00CE2A78"/>
    <w:rsid w:val="00CE3AD2"/>
    <w:rsid w:val="00CE4D96"/>
    <w:rsid w:val="00CE4FE7"/>
    <w:rsid w:val="00CE5485"/>
    <w:rsid w:val="00CE61FE"/>
    <w:rsid w:val="00CE63D7"/>
    <w:rsid w:val="00CE670F"/>
    <w:rsid w:val="00CE7049"/>
    <w:rsid w:val="00CF0012"/>
    <w:rsid w:val="00CF02AE"/>
    <w:rsid w:val="00CF112A"/>
    <w:rsid w:val="00CF118D"/>
    <w:rsid w:val="00CF23B0"/>
    <w:rsid w:val="00CF3FC8"/>
    <w:rsid w:val="00CF4629"/>
    <w:rsid w:val="00CF5491"/>
    <w:rsid w:val="00CF5A2B"/>
    <w:rsid w:val="00CF64BD"/>
    <w:rsid w:val="00CF746F"/>
    <w:rsid w:val="00D0148F"/>
    <w:rsid w:val="00D0191E"/>
    <w:rsid w:val="00D02E48"/>
    <w:rsid w:val="00D04435"/>
    <w:rsid w:val="00D047C7"/>
    <w:rsid w:val="00D06A11"/>
    <w:rsid w:val="00D06BD1"/>
    <w:rsid w:val="00D07BFB"/>
    <w:rsid w:val="00D10B8C"/>
    <w:rsid w:val="00D111D7"/>
    <w:rsid w:val="00D124D7"/>
    <w:rsid w:val="00D14E37"/>
    <w:rsid w:val="00D21183"/>
    <w:rsid w:val="00D21577"/>
    <w:rsid w:val="00D21930"/>
    <w:rsid w:val="00D22157"/>
    <w:rsid w:val="00D2260A"/>
    <w:rsid w:val="00D23550"/>
    <w:rsid w:val="00D241E9"/>
    <w:rsid w:val="00D27DC8"/>
    <w:rsid w:val="00D31296"/>
    <w:rsid w:val="00D3237A"/>
    <w:rsid w:val="00D33761"/>
    <w:rsid w:val="00D33988"/>
    <w:rsid w:val="00D34FDE"/>
    <w:rsid w:val="00D354D5"/>
    <w:rsid w:val="00D37083"/>
    <w:rsid w:val="00D40A35"/>
    <w:rsid w:val="00D40B59"/>
    <w:rsid w:val="00D418CA"/>
    <w:rsid w:val="00D422C8"/>
    <w:rsid w:val="00D4477C"/>
    <w:rsid w:val="00D45981"/>
    <w:rsid w:val="00D45ACA"/>
    <w:rsid w:val="00D46634"/>
    <w:rsid w:val="00D50531"/>
    <w:rsid w:val="00D5161A"/>
    <w:rsid w:val="00D52593"/>
    <w:rsid w:val="00D52A16"/>
    <w:rsid w:val="00D5304D"/>
    <w:rsid w:val="00D54BF8"/>
    <w:rsid w:val="00D54E1F"/>
    <w:rsid w:val="00D54FD9"/>
    <w:rsid w:val="00D56098"/>
    <w:rsid w:val="00D57524"/>
    <w:rsid w:val="00D60C8D"/>
    <w:rsid w:val="00D61AD6"/>
    <w:rsid w:val="00D62273"/>
    <w:rsid w:val="00D6390A"/>
    <w:rsid w:val="00D6480A"/>
    <w:rsid w:val="00D65A5B"/>
    <w:rsid w:val="00D65FF2"/>
    <w:rsid w:val="00D6724D"/>
    <w:rsid w:val="00D67D22"/>
    <w:rsid w:val="00D7019F"/>
    <w:rsid w:val="00D70239"/>
    <w:rsid w:val="00D70B89"/>
    <w:rsid w:val="00D715B0"/>
    <w:rsid w:val="00D73262"/>
    <w:rsid w:val="00D738C7"/>
    <w:rsid w:val="00D74B59"/>
    <w:rsid w:val="00D74EC2"/>
    <w:rsid w:val="00D806D3"/>
    <w:rsid w:val="00D8143A"/>
    <w:rsid w:val="00D819F9"/>
    <w:rsid w:val="00D8203C"/>
    <w:rsid w:val="00D827CC"/>
    <w:rsid w:val="00D82A4D"/>
    <w:rsid w:val="00D84C8D"/>
    <w:rsid w:val="00D855D9"/>
    <w:rsid w:val="00D85E72"/>
    <w:rsid w:val="00D8626A"/>
    <w:rsid w:val="00D8760F"/>
    <w:rsid w:val="00D87EB6"/>
    <w:rsid w:val="00D9131E"/>
    <w:rsid w:val="00D915B2"/>
    <w:rsid w:val="00D92088"/>
    <w:rsid w:val="00D93196"/>
    <w:rsid w:val="00D94B68"/>
    <w:rsid w:val="00D94EEC"/>
    <w:rsid w:val="00D95727"/>
    <w:rsid w:val="00D96446"/>
    <w:rsid w:val="00DA06FF"/>
    <w:rsid w:val="00DA0CE7"/>
    <w:rsid w:val="00DA1D18"/>
    <w:rsid w:val="00DA3024"/>
    <w:rsid w:val="00DA39A8"/>
    <w:rsid w:val="00DA446C"/>
    <w:rsid w:val="00DA54BE"/>
    <w:rsid w:val="00DA607A"/>
    <w:rsid w:val="00DA67BA"/>
    <w:rsid w:val="00DA6B22"/>
    <w:rsid w:val="00DB0418"/>
    <w:rsid w:val="00DB1466"/>
    <w:rsid w:val="00DB2A17"/>
    <w:rsid w:val="00DB46B6"/>
    <w:rsid w:val="00DB5936"/>
    <w:rsid w:val="00DB5AFE"/>
    <w:rsid w:val="00DB6596"/>
    <w:rsid w:val="00DC0FEA"/>
    <w:rsid w:val="00DC3B9E"/>
    <w:rsid w:val="00DC3E11"/>
    <w:rsid w:val="00DC4EE6"/>
    <w:rsid w:val="00DC553C"/>
    <w:rsid w:val="00DC570F"/>
    <w:rsid w:val="00DC6AA0"/>
    <w:rsid w:val="00DC791A"/>
    <w:rsid w:val="00DD02AD"/>
    <w:rsid w:val="00DD143C"/>
    <w:rsid w:val="00DD16A2"/>
    <w:rsid w:val="00DD277D"/>
    <w:rsid w:val="00DD50C1"/>
    <w:rsid w:val="00DD5B70"/>
    <w:rsid w:val="00DE044E"/>
    <w:rsid w:val="00DE090B"/>
    <w:rsid w:val="00DE0D6B"/>
    <w:rsid w:val="00DE1E08"/>
    <w:rsid w:val="00DE27D8"/>
    <w:rsid w:val="00DE3C7A"/>
    <w:rsid w:val="00DE57E1"/>
    <w:rsid w:val="00DF116B"/>
    <w:rsid w:val="00DF133F"/>
    <w:rsid w:val="00DF19A8"/>
    <w:rsid w:val="00DF1F68"/>
    <w:rsid w:val="00DF3AF3"/>
    <w:rsid w:val="00DF6C5C"/>
    <w:rsid w:val="00E0154C"/>
    <w:rsid w:val="00E016AE"/>
    <w:rsid w:val="00E04119"/>
    <w:rsid w:val="00E049AA"/>
    <w:rsid w:val="00E04AA2"/>
    <w:rsid w:val="00E04BD7"/>
    <w:rsid w:val="00E05B4E"/>
    <w:rsid w:val="00E0633A"/>
    <w:rsid w:val="00E10EFB"/>
    <w:rsid w:val="00E11315"/>
    <w:rsid w:val="00E11B6D"/>
    <w:rsid w:val="00E14F14"/>
    <w:rsid w:val="00E203B1"/>
    <w:rsid w:val="00E21B0D"/>
    <w:rsid w:val="00E2244A"/>
    <w:rsid w:val="00E2315F"/>
    <w:rsid w:val="00E23878"/>
    <w:rsid w:val="00E24073"/>
    <w:rsid w:val="00E243ED"/>
    <w:rsid w:val="00E24C5E"/>
    <w:rsid w:val="00E24D4F"/>
    <w:rsid w:val="00E26828"/>
    <w:rsid w:val="00E271E4"/>
    <w:rsid w:val="00E30E4D"/>
    <w:rsid w:val="00E314C3"/>
    <w:rsid w:val="00E315BF"/>
    <w:rsid w:val="00E31BF6"/>
    <w:rsid w:val="00E32256"/>
    <w:rsid w:val="00E340CC"/>
    <w:rsid w:val="00E35C49"/>
    <w:rsid w:val="00E369B1"/>
    <w:rsid w:val="00E377A9"/>
    <w:rsid w:val="00E37D70"/>
    <w:rsid w:val="00E40800"/>
    <w:rsid w:val="00E4246D"/>
    <w:rsid w:val="00E42AD2"/>
    <w:rsid w:val="00E435AA"/>
    <w:rsid w:val="00E4592E"/>
    <w:rsid w:val="00E4767F"/>
    <w:rsid w:val="00E47827"/>
    <w:rsid w:val="00E505DF"/>
    <w:rsid w:val="00E5096F"/>
    <w:rsid w:val="00E51B47"/>
    <w:rsid w:val="00E51F6E"/>
    <w:rsid w:val="00E52193"/>
    <w:rsid w:val="00E5272E"/>
    <w:rsid w:val="00E52CB3"/>
    <w:rsid w:val="00E533D6"/>
    <w:rsid w:val="00E54D8B"/>
    <w:rsid w:val="00E60BE7"/>
    <w:rsid w:val="00E615DB"/>
    <w:rsid w:val="00E62339"/>
    <w:rsid w:val="00E6364A"/>
    <w:rsid w:val="00E64B87"/>
    <w:rsid w:val="00E65149"/>
    <w:rsid w:val="00E7054E"/>
    <w:rsid w:val="00E7130C"/>
    <w:rsid w:val="00E715D3"/>
    <w:rsid w:val="00E71B1C"/>
    <w:rsid w:val="00E72288"/>
    <w:rsid w:val="00E72859"/>
    <w:rsid w:val="00E7401C"/>
    <w:rsid w:val="00E7478B"/>
    <w:rsid w:val="00E75CA5"/>
    <w:rsid w:val="00E76867"/>
    <w:rsid w:val="00E76A8F"/>
    <w:rsid w:val="00E77328"/>
    <w:rsid w:val="00E77926"/>
    <w:rsid w:val="00E77C24"/>
    <w:rsid w:val="00E77F21"/>
    <w:rsid w:val="00E77FBD"/>
    <w:rsid w:val="00E81718"/>
    <w:rsid w:val="00E8174C"/>
    <w:rsid w:val="00E81855"/>
    <w:rsid w:val="00E824A8"/>
    <w:rsid w:val="00E83CFC"/>
    <w:rsid w:val="00E83F2F"/>
    <w:rsid w:val="00E85192"/>
    <w:rsid w:val="00E85E0F"/>
    <w:rsid w:val="00E86ADA"/>
    <w:rsid w:val="00E87E9A"/>
    <w:rsid w:val="00E90A7F"/>
    <w:rsid w:val="00E90EC8"/>
    <w:rsid w:val="00E92656"/>
    <w:rsid w:val="00E93610"/>
    <w:rsid w:val="00E94871"/>
    <w:rsid w:val="00E9550F"/>
    <w:rsid w:val="00E957C2"/>
    <w:rsid w:val="00E95A0F"/>
    <w:rsid w:val="00E96E12"/>
    <w:rsid w:val="00E970BC"/>
    <w:rsid w:val="00E9716C"/>
    <w:rsid w:val="00E97E76"/>
    <w:rsid w:val="00EA00FF"/>
    <w:rsid w:val="00EA0498"/>
    <w:rsid w:val="00EA05AF"/>
    <w:rsid w:val="00EA1264"/>
    <w:rsid w:val="00EA35AE"/>
    <w:rsid w:val="00EA360C"/>
    <w:rsid w:val="00EA3642"/>
    <w:rsid w:val="00EA3763"/>
    <w:rsid w:val="00EA4A83"/>
    <w:rsid w:val="00EA5333"/>
    <w:rsid w:val="00EA754B"/>
    <w:rsid w:val="00EB0B02"/>
    <w:rsid w:val="00EB358A"/>
    <w:rsid w:val="00EB3600"/>
    <w:rsid w:val="00EB5360"/>
    <w:rsid w:val="00EB754D"/>
    <w:rsid w:val="00EC1902"/>
    <w:rsid w:val="00EC2297"/>
    <w:rsid w:val="00EC2792"/>
    <w:rsid w:val="00EC27E6"/>
    <w:rsid w:val="00EC2936"/>
    <w:rsid w:val="00EC3608"/>
    <w:rsid w:val="00EC3C6D"/>
    <w:rsid w:val="00EC4619"/>
    <w:rsid w:val="00ED1BF7"/>
    <w:rsid w:val="00ED3475"/>
    <w:rsid w:val="00ED3CA6"/>
    <w:rsid w:val="00ED5814"/>
    <w:rsid w:val="00ED656D"/>
    <w:rsid w:val="00ED7755"/>
    <w:rsid w:val="00ED7E29"/>
    <w:rsid w:val="00EE226F"/>
    <w:rsid w:val="00EE2D25"/>
    <w:rsid w:val="00EE3B18"/>
    <w:rsid w:val="00EE4E20"/>
    <w:rsid w:val="00EE50C8"/>
    <w:rsid w:val="00EE7E1D"/>
    <w:rsid w:val="00EF0B82"/>
    <w:rsid w:val="00EF3798"/>
    <w:rsid w:val="00EF3F03"/>
    <w:rsid w:val="00EF7AB6"/>
    <w:rsid w:val="00F01CAB"/>
    <w:rsid w:val="00F022D1"/>
    <w:rsid w:val="00F030D4"/>
    <w:rsid w:val="00F0334D"/>
    <w:rsid w:val="00F039C9"/>
    <w:rsid w:val="00F03D17"/>
    <w:rsid w:val="00F04224"/>
    <w:rsid w:val="00F0567F"/>
    <w:rsid w:val="00F05F3B"/>
    <w:rsid w:val="00F061F4"/>
    <w:rsid w:val="00F10A99"/>
    <w:rsid w:val="00F117F1"/>
    <w:rsid w:val="00F11BAC"/>
    <w:rsid w:val="00F144D7"/>
    <w:rsid w:val="00F1488B"/>
    <w:rsid w:val="00F1536F"/>
    <w:rsid w:val="00F15DA1"/>
    <w:rsid w:val="00F15EBE"/>
    <w:rsid w:val="00F17227"/>
    <w:rsid w:val="00F174DE"/>
    <w:rsid w:val="00F1792F"/>
    <w:rsid w:val="00F202D4"/>
    <w:rsid w:val="00F20996"/>
    <w:rsid w:val="00F23856"/>
    <w:rsid w:val="00F251A1"/>
    <w:rsid w:val="00F26667"/>
    <w:rsid w:val="00F26C08"/>
    <w:rsid w:val="00F31251"/>
    <w:rsid w:val="00F3131C"/>
    <w:rsid w:val="00F326D3"/>
    <w:rsid w:val="00F33041"/>
    <w:rsid w:val="00F401FD"/>
    <w:rsid w:val="00F40620"/>
    <w:rsid w:val="00F4115C"/>
    <w:rsid w:val="00F4122F"/>
    <w:rsid w:val="00F41F82"/>
    <w:rsid w:val="00F42517"/>
    <w:rsid w:val="00F42833"/>
    <w:rsid w:val="00F43C9F"/>
    <w:rsid w:val="00F44A57"/>
    <w:rsid w:val="00F4539F"/>
    <w:rsid w:val="00F46F41"/>
    <w:rsid w:val="00F473FE"/>
    <w:rsid w:val="00F500DE"/>
    <w:rsid w:val="00F5213D"/>
    <w:rsid w:val="00F52AE6"/>
    <w:rsid w:val="00F54B3B"/>
    <w:rsid w:val="00F551EF"/>
    <w:rsid w:val="00F55552"/>
    <w:rsid w:val="00F5674C"/>
    <w:rsid w:val="00F56B5D"/>
    <w:rsid w:val="00F56CB3"/>
    <w:rsid w:val="00F6004F"/>
    <w:rsid w:val="00F61B5B"/>
    <w:rsid w:val="00F61BBC"/>
    <w:rsid w:val="00F62681"/>
    <w:rsid w:val="00F62C36"/>
    <w:rsid w:val="00F63D03"/>
    <w:rsid w:val="00F64112"/>
    <w:rsid w:val="00F65342"/>
    <w:rsid w:val="00F704E7"/>
    <w:rsid w:val="00F725EC"/>
    <w:rsid w:val="00F7288E"/>
    <w:rsid w:val="00F72E36"/>
    <w:rsid w:val="00F73D5F"/>
    <w:rsid w:val="00F74916"/>
    <w:rsid w:val="00F76EAE"/>
    <w:rsid w:val="00F808BB"/>
    <w:rsid w:val="00F80959"/>
    <w:rsid w:val="00F80D0F"/>
    <w:rsid w:val="00F812E8"/>
    <w:rsid w:val="00F823E2"/>
    <w:rsid w:val="00F83AF5"/>
    <w:rsid w:val="00F85558"/>
    <w:rsid w:val="00F8611C"/>
    <w:rsid w:val="00F86268"/>
    <w:rsid w:val="00F92B80"/>
    <w:rsid w:val="00F93301"/>
    <w:rsid w:val="00F93F39"/>
    <w:rsid w:val="00F94105"/>
    <w:rsid w:val="00F94DA5"/>
    <w:rsid w:val="00F9585A"/>
    <w:rsid w:val="00F96880"/>
    <w:rsid w:val="00F97469"/>
    <w:rsid w:val="00F97D0A"/>
    <w:rsid w:val="00FA13C0"/>
    <w:rsid w:val="00FA208C"/>
    <w:rsid w:val="00FA233B"/>
    <w:rsid w:val="00FA2806"/>
    <w:rsid w:val="00FA4357"/>
    <w:rsid w:val="00FA55C5"/>
    <w:rsid w:val="00FA6886"/>
    <w:rsid w:val="00FA7F6C"/>
    <w:rsid w:val="00FB00FB"/>
    <w:rsid w:val="00FB1347"/>
    <w:rsid w:val="00FB1385"/>
    <w:rsid w:val="00FB190E"/>
    <w:rsid w:val="00FB5CC7"/>
    <w:rsid w:val="00FB705F"/>
    <w:rsid w:val="00FC0718"/>
    <w:rsid w:val="00FC0845"/>
    <w:rsid w:val="00FC0D8B"/>
    <w:rsid w:val="00FC18C1"/>
    <w:rsid w:val="00FC1BFD"/>
    <w:rsid w:val="00FC397E"/>
    <w:rsid w:val="00FC3FF9"/>
    <w:rsid w:val="00FC5AF0"/>
    <w:rsid w:val="00FC5BC4"/>
    <w:rsid w:val="00FC784F"/>
    <w:rsid w:val="00FD09BD"/>
    <w:rsid w:val="00FD0D1F"/>
    <w:rsid w:val="00FD0D90"/>
    <w:rsid w:val="00FD1395"/>
    <w:rsid w:val="00FD2626"/>
    <w:rsid w:val="00FD31E2"/>
    <w:rsid w:val="00FD321F"/>
    <w:rsid w:val="00FD39EF"/>
    <w:rsid w:val="00FD3AA5"/>
    <w:rsid w:val="00FD44C5"/>
    <w:rsid w:val="00FD480B"/>
    <w:rsid w:val="00FD4D0E"/>
    <w:rsid w:val="00FD4F00"/>
    <w:rsid w:val="00FD5B6F"/>
    <w:rsid w:val="00FD5BBD"/>
    <w:rsid w:val="00FD733F"/>
    <w:rsid w:val="00FD772E"/>
    <w:rsid w:val="00FE0857"/>
    <w:rsid w:val="00FE091C"/>
    <w:rsid w:val="00FE0DED"/>
    <w:rsid w:val="00FE4489"/>
    <w:rsid w:val="00FE4E55"/>
    <w:rsid w:val="00FE6F42"/>
    <w:rsid w:val="00FE7CA4"/>
    <w:rsid w:val="00FF24E6"/>
    <w:rsid w:val="00FF2EA6"/>
    <w:rsid w:val="00FF34C0"/>
    <w:rsid w:val="00FF444D"/>
    <w:rsid w:val="00FF4D61"/>
    <w:rsid w:val="00FF5096"/>
    <w:rsid w:val="00FF53D2"/>
    <w:rsid w:val="00FF6603"/>
    <w:rsid w:val="00FF6BEC"/>
    <w:rsid w:val="00FF7F1F"/>
    <w:rsid w:val="019E766F"/>
    <w:rsid w:val="02426260"/>
    <w:rsid w:val="028D6E3D"/>
    <w:rsid w:val="02ED45BD"/>
    <w:rsid w:val="04B2316F"/>
    <w:rsid w:val="07481946"/>
    <w:rsid w:val="08E3627D"/>
    <w:rsid w:val="094824DA"/>
    <w:rsid w:val="09673768"/>
    <w:rsid w:val="09D75717"/>
    <w:rsid w:val="09FA7A8C"/>
    <w:rsid w:val="0A3C6518"/>
    <w:rsid w:val="0B38682E"/>
    <w:rsid w:val="0BA909FC"/>
    <w:rsid w:val="0D301266"/>
    <w:rsid w:val="0E5421C4"/>
    <w:rsid w:val="0EC95A31"/>
    <w:rsid w:val="0F4B3B24"/>
    <w:rsid w:val="11A972FB"/>
    <w:rsid w:val="14302302"/>
    <w:rsid w:val="14387DA0"/>
    <w:rsid w:val="1445178C"/>
    <w:rsid w:val="14BA7392"/>
    <w:rsid w:val="14DB7AD8"/>
    <w:rsid w:val="15B475B1"/>
    <w:rsid w:val="15DE609F"/>
    <w:rsid w:val="17E678A1"/>
    <w:rsid w:val="196C34F9"/>
    <w:rsid w:val="19BA444C"/>
    <w:rsid w:val="1AFA53D7"/>
    <w:rsid w:val="1B591EEC"/>
    <w:rsid w:val="1BC51EC4"/>
    <w:rsid w:val="1D531D9D"/>
    <w:rsid w:val="1F4E3D7F"/>
    <w:rsid w:val="2063580D"/>
    <w:rsid w:val="20FC48E7"/>
    <w:rsid w:val="21415B4F"/>
    <w:rsid w:val="21557AE2"/>
    <w:rsid w:val="2194727B"/>
    <w:rsid w:val="21C13A56"/>
    <w:rsid w:val="228F0300"/>
    <w:rsid w:val="25CD66E3"/>
    <w:rsid w:val="25D35A02"/>
    <w:rsid w:val="269F0C21"/>
    <w:rsid w:val="27AC7A9A"/>
    <w:rsid w:val="27B65CBC"/>
    <w:rsid w:val="2BCF39E1"/>
    <w:rsid w:val="2CEA5F86"/>
    <w:rsid w:val="303966C1"/>
    <w:rsid w:val="30980BBB"/>
    <w:rsid w:val="30B2308A"/>
    <w:rsid w:val="31FC05CA"/>
    <w:rsid w:val="32A25D21"/>
    <w:rsid w:val="32E101E7"/>
    <w:rsid w:val="345A20FF"/>
    <w:rsid w:val="34642580"/>
    <w:rsid w:val="346A6D13"/>
    <w:rsid w:val="34DE6376"/>
    <w:rsid w:val="35584DBD"/>
    <w:rsid w:val="359758E5"/>
    <w:rsid w:val="371357B7"/>
    <w:rsid w:val="38F8566F"/>
    <w:rsid w:val="39C36092"/>
    <w:rsid w:val="39FF47C0"/>
    <w:rsid w:val="3A645261"/>
    <w:rsid w:val="3ADE51D4"/>
    <w:rsid w:val="3BE568AA"/>
    <w:rsid w:val="3BF93658"/>
    <w:rsid w:val="3CF83B05"/>
    <w:rsid w:val="3D010CA4"/>
    <w:rsid w:val="3F5B3485"/>
    <w:rsid w:val="3F5F1E28"/>
    <w:rsid w:val="3F9A0708"/>
    <w:rsid w:val="3FA478A2"/>
    <w:rsid w:val="406039F7"/>
    <w:rsid w:val="407C7A33"/>
    <w:rsid w:val="412C6961"/>
    <w:rsid w:val="415822AF"/>
    <w:rsid w:val="42502E36"/>
    <w:rsid w:val="43487EAF"/>
    <w:rsid w:val="45066D95"/>
    <w:rsid w:val="46027A34"/>
    <w:rsid w:val="4626475A"/>
    <w:rsid w:val="46B276A3"/>
    <w:rsid w:val="46BF008F"/>
    <w:rsid w:val="46E033E6"/>
    <w:rsid w:val="497E15F8"/>
    <w:rsid w:val="4A547DF1"/>
    <w:rsid w:val="4B136581"/>
    <w:rsid w:val="4B507750"/>
    <w:rsid w:val="4BB61D09"/>
    <w:rsid w:val="4BB64132"/>
    <w:rsid w:val="4C346E8A"/>
    <w:rsid w:val="4C5C3627"/>
    <w:rsid w:val="4C991896"/>
    <w:rsid w:val="4DE33966"/>
    <w:rsid w:val="4DFC57AB"/>
    <w:rsid w:val="4E4D173A"/>
    <w:rsid w:val="4E9A409C"/>
    <w:rsid w:val="4EA110C5"/>
    <w:rsid w:val="4F951A1D"/>
    <w:rsid w:val="4F9C4A33"/>
    <w:rsid w:val="4FC00DA4"/>
    <w:rsid w:val="507E74F1"/>
    <w:rsid w:val="50E757FA"/>
    <w:rsid w:val="531077ED"/>
    <w:rsid w:val="53154A40"/>
    <w:rsid w:val="531E14E6"/>
    <w:rsid w:val="53B75CDA"/>
    <w:rsid w:val="53C921D9"/>
    <w:rsid w:val="543A0058"/>
    <w:rsid w:val="54AD3AC2"/>
    <w:rsid w:val="557D2017"/>
    <w:rsid w:val="56112BC8"/>
    <w:rsid w:val="56F874E3"/>
    <w:rsid w:val="57985EAD"/>
    <w:rsid w:val="58191BCC"/>
    <w:rsid w:val="585F1E3B"/>
    <w:rsid w:val="595F305A"/>
    <w:rsid w:val="5B0A13EE"/>
    <w:rsid w:val="5B315186"/>
    <w:rsid w:val="5C523C8A"/>
    <w:rsid w:val="5D6F6E90"/>
    <w:rsid w:val="5D9558C0"/>
    <w:rsid w:val="5DA43ABF"/>
    <w:rsid w:val="5E236C94"/>
    <w:rsid w:val="5EDA39B8"/>
    <w:rsid w:val="5F7D537E"/>
    <w:rsid w:val="604236FD"/>
    <w:rsid w:val="609E61A6"/>
    <w:rsid w:val="60EF1C84"/>
    <w:rsid w:val="61505F3A"/>
    <w:rsid w:val="63CD38DD"/>
    <w:rsid w:val="66E55C01"/>
    <w:rsid w:val="682D45F3"/>
    <w:rsid w:val="693F7FEF"/>
    <w:rsid w:val="6A93177D"/>
    <w:rsid w:val="6ACA6640"/>
    <w:rsid w:val="6BCF6610"/>
    <w:rsid w:val="6C1C5950"/>
    <w:rsid w:val="6D2613DF"/>
    <w:rsid w:val="6D2A65DA"/>
    <w:rsid w:val="70734297"/>
    <w:rsid w:val="70FB0E18"/>
    <w:rsid w:val="72535B8C"/>
    <w:rsid w:val="74214BF5"/>
    <w:rsid w:val="75177680"/>
    <w:rsid w:val="75232716"/>
    <w:rsid w:val="75663E0B"/>
    <w:rsid w:val="756B0AE6"/>
    <w:rsid w:val="763A5F72"/>
    <w:rsid w:val="77096673"/>
    <w:rsid w:val="77562DCB"/>
    <w:rsid w:val="79D33681"/>
    <w:rsid w:val="79DE4773"/>
    <w:rsid w:val="7A0B3779"/>
    <w:rsid w:val="7A0C0C2C"/>
    <w:rsid w:val="7B872A40"/>
    <w:rsid w:val="7C95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2"/>
    <w:semiHidden/>
    <w:unhideWhenUsed/>
    <w:qFormat/>
    <w:uiPriority w:val="99"/>
    <w:rPr>
      <w:rFonts w:ascii="宋体"/>
      <w:sz w:val="18"/>
      <w:szCs w:val="18"/>
    </w:rPr>
  </w:style>
  <w:style w:type="paragraph" w:styleId="5">
    <w:name w:val="annotation text"/>
    <w:basedOn w:val="1"/>
    <w:semiHidden/>
    <w:unhideWhenUsed/>
    <w:qFormat/>
    <w:uiPriority w:val="99"/>
    <w:pPr>
      <w:jc w:val="left"/>
    </w:pPr>
  </w:style>
  <w:style w:type="paragraph" w:styleId="6">
    <w:name w:val="Body Text"/>
    <w:basedOn w:val="1"/>
    <w:link w:val="30"/>
    <w:unhideWhenUsed/>
    <w:qFormat/>
    <w:uiPriority w:val="99"/>
    <w:pPr>
      <w:spacing w:after="120"/>
    </w:pPr>
    <w:rPr>
      <w:szCs w:val="21"/>
    </w:rPr>
  </w:style>
  <w:style w:type="paragraph" w:styleId="7">
    <w:name w:val="Body Text Indent"/>
    <w:basedOn w:val="1"/>
    <w:link w:val="28"/>
    <w:qFormat/>
    <w:uiPriority w:val="0"/>
    <w:pPr>
      <w:widowControl/>
      <w:spacing w:line="360" w:lineRule="auto"/>
      <w:ind w:left="31" w:leftChars="15" w:firstLine="560" w:firstLineChars="200"/>
    </w:pPr>
    <w:rPr>
      <w:rFonts w:ascii="ˎ̥" w:hAnsi="ˎ̥"/>
      <w:color w:val="333333"/>
      <w:kern w:val="0"/>
      <w:sz w:val="28"/>
      <w:szCs w:val="21"/>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rFonts w:ascii="Calibri" w:hAnsi="Calibri"/>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unhideWhenUsed/>
    <w:qFormat/>
    <w:uiPriority w:val="39"/>
    <w:pPr>
      <w:tabs>
        <w:tab w:val="right" w:leader="dot" w:pos="8296"/>
      </w:tabs>
      <w:spacing w:line="360" w:lineRule="auto"/>
    </w:pPr>
  </w:style>
  <w:style w:type="paragraph" w:styleId="14">
    <w:name w:val="Subtitle"/>
    <w:basedOn w:val="1"/>
    <w:next w:val="1"/>
    <w:link w:val="4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5">
    <w:name w:val="footnote text"/>
    <w:basedOn w:val="1"/>
    <w:link w:val="29"/>
    <w:semiHidden/>
    <w:qFormat/>
    <w:uiPriority w:val="0"/>
    <w:pPr>
      <w:snapToGrid w:val="0"/>
      <w:jc w:val="left"/>
    </w:pPr>
    <w:rPr>
      <w:sz w:val="18"/>
      <w:szCs w:val="18"/>
    </w:rPr>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style>
  <w:style w:type="paragraph" w:styleId="18">
    <w:name w:val="Title"/>
    <w:basedOn w:val="1"/>
    <w:next w:val="1"/>
    <w:link w:val="38"/>
    <w:qFormat/>
    <w:uiPriority w:val="10"/>
    <w:pPr>
      <w:spacing w:line="360" w:lineRule="auto"/>
      <w:jc w:val="center"/>
      <w:outlineLvl w:val="0"/>
    </w:pPr>
    <w:rPr>
      <w:rFonts w:cstheme="majorBidi"/>
      <w:b/>
      <w:bCs/>
      <w:sz w:val="32"/>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qFormat/>
    <w:uiPriority w:val="99"/>
    <w:rPr>
      <w:color w:val="0000FF"/>
      <w:u w:val="single"/>
    </w:rPr>
  </w:style>
  <w:style w:type="character" w:styleId="24">
    <w:name w:val="footnote reference"/>
    <w:basedOn w:val="21"/>
    <w:semiHidden/>
    <w:qFormat/>
    <w:uiPriority w:val="0"/>
    <w:rPr>
      <w:vertAlign w:val="superscript"/>
    </w:rPr>
  </w:style>
  <w:style w:type="character" w:customStyle="1" w:styleId="25">
    <w:name w:val="页眉 Char"/>
    <w:basedOn w:val="21"/>
    <w:link w:val="12"/>
    <w:qFormat/>
    <w:uiPriority w:val="99"/>
    <w:rPr>
      <w:sz w:val="18"/>
      <w:szCs w:val="18"/>
    </w:rPr>
  </w:style>
  <w:style w:type="character" w:customStyle="1" w:styleId="26">
    <w:name w:val="页脚 Char"/>
    <w:basedOn w:val="21"/>
    <w:link w:val="11"/>
    <w:qFormat/>
    <w:uiPriority w:val="99"/>
    <w:rPr>
      <w:sz w:val="18"/>
      <w:szCs w:val="18"/>
    </w:rPr>
  </w:style>
  <w:style w:type="character" w:customStyle="1" w:styleId="27">
    <w:name w:val="批注框文本 Char"/>
    <w:basedOn w:val="21"/>
    <w:link w:val="10"/>
    <w:semiHidden/>
    <w:qFormat/>
    <w:uiPriority w:val="99"/>
    <w:rPr>
      <w:rFonts w:ascii="Times New Roman" w:hAnsi="Times New Roman" w:eastAsia="宋体" w:cs="Times New Roman"/>
      <w:sz w:val="18"/>
      <w:szCs w:val="18"/>
    </w:rPr>
  </w:style>
  <w:style w:type="character" w:customStyle="1" w:styleId="28">
    <w:name w:val="正文文本缩进 Char"/>
    <w:basedOn w:val="21"/>
    <w:link w:val="7"/>
    <w:qFormat/>
    <w:uiPriority w:val="0"/>
    <w:rPr>
      <w:rFonts w:ascii="ˎ̥" w:hAnsi="ˎ̥" w:eastAsia="宋体" w:cs="Times New Roman"/>
      <w:color w:val="333333"/>
      <w:kern w:val="0"/>
      <w:sz w:val="28"/>
      <w:szCs w:val="21"/>
    </w:rPr>
  </w:style>
  <w:style w:type="character" w:customStyle="1" w:styleId="29">
    <w:name w:val="脚注文本 Char"/>
    <w:basedOn w:val="21"/>
    <w:link w:val="15"/>
    <w:semiHidden/>
    <w:qFormat/>
    <w:uiPriority w:val="0"/>
    <w:rPr>
      <w:rFonts w:ascii="Times New Roman" w:hAnsi="Times New Roman" w:eastAsia="宋体" w:cs="Times New Roman"/>
      <w:sz w:val="18"/>
      <w:szCs w:val="18"/>
    </w:rPr>
  </w:style>
  <w:style w:type="character" w:customStyle="1" w:styleId="30">
    <w:name w:val="正文文本 Char"/>
    <w:basedOn w:val="21"/>
    <w:link w:val="6"/>
    <w:qFormat/>
    <w:uiPriority w:val="99"/>
    <w:rPr>
      <w:rFonts w:ascii="Times New Roman" w:hAnsi="Times New Roman"/>
      <w:kern w:val="2"/>
      <w:sz w:val="21"/>
      <w:szCs w:val="21"/>
    </w:rPr>
  </w:style>
  <w:style w:type="paragraph" w:styleId="31">
    <w:name w:val="List Paragraph"/>
    <w:basedOn w:val="1"/>
    <w:qFormat/>
    <w:uiPriority w:val="34"/>
    <w:pPr>
      <w:ind w:firstLine="420" w:firstLineChars="200"/>
    </w:pPr>
    <w:rPr>
      <w:szCs w:val="21"/>
    </w:rPr>
  </w:style>
  <w:style w:type="character" w:customStyle="1" w:styleId="32">
    <w:name w:val="文档结构图 Char"/>
    <w:basedOn w:val="21"/>
    <w:link w:val="4"/>
    <w:semiHidden/>
    <w:qFormat/>
    <w:uiPriority w:val="99"/>
    <w:rPr>
      <w:rFonts w:ascii="宋体" w:hAnsi="Times New Roman"/>
      <w:kern w:val="2"/>
      <w:sz w:val="18"/>
      <w:szCs w:val="18"/>
    </w:rPr>
  </w:style>
  <w:style w:type="character" w:customStyle="1" w:styleId="33">
    <w:name w:val="标题 1 Char"/>
    <w:basedOn w:val="21"/>
    <w:link w:val="2"/>
    <w:qFormat/>
    <w:uiPriority w:val="99"/>
    <w:rPr>
      <w:rFonts w:ascii="Times New Roman" w:hAnsi="Times New Roman"/>
      <w:b/>
      <w:bCs/>
      <w:kern w:val="44"/>
      <w:sz w:val="44"/>
      <w:szCs w:val="44"/>
    </w:rPr>
  </w:style>
  <w:style w:type="character" w:customStyle="1" w:styleId="34">
    <w:name w:val="s 正文 字符"/>
    <w:link w:val="35"/>
    <w:qFormat/>
    <w:uiPriority w:val="0"/>
    <w:rPr>
      <w:rFonts w:ascii="Times New Roman" w:hAnsi="Times New Roman" w:cs="宋体"/>
      <w:sz w:val="24"/>
      <w:szCs w:val="24"/>
    </w:rPr>
  </w:style>
  <w:style w:type="paragraph" w:customStyle="1" w:styleId="35">
    <w:name w:val="s 正文"/>
    <w:basedOn w:val="17"/>
    <w:link w:val="34"/>
    <w:qFormat/>
    <w:uiPriority w:val="0"/>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00" w:lineRule="exact"/>
      <w:ind w:firstLine="480" w:firstLineChars="200"/>
      <w:jc w:val="left"/>
    </w:pPr>
    <w:rPr>
      <w:rFonts w:cs="宋体"/>
      <w:kern w:val="0"/>
    </w:rPr>
  </w:style>
  <w:style w:type="paragraph" w:customStyle="1" w:styleId="36">
    <w:name w:val="shnu毕设 2级标题"/>
    <w:basedOn w:val="2"/>
    <w:qFormat/>
    <w:uiPriority w:val="0"/>
    <w:pPr>
      <w:spacing w:before="0" w:after="0" w:line="240" w:lineRule="auto"/>
      <w:jc w:val="left"/>
    </w:pPr>
    <w:rPr>
      <w:rFonts w:ascii="黑体" w:hAnsi="黑体" w:eastAsia="黑体"/>
      <w:b w:val="0"/>
      <w:sz w:val="30"/>
      <w:szCs w:val="30"/>
    </w:rPr>
  </w:style>
  <w:style w:type="character" w:customStyle="1" w:styleId="37">
    <w:name w:val="标题 2 Char"/>
    <w:basedOn w:val="21"/>
    <w:link w:val="3"/>
    <w:semiHidden/>
    <w:qFormat/>
    <w:uiPriority w:val="9"/>
    <w:rPr>
      <w:rFonts w:asciiTheme="majorHAnsi" w:hAnsiTheme="majorHAnsi" w:eastAsiaTheme="majorEastAsia" w:cstheme="majorBidi"/>
      <w:b/>
      <w:bCs/>
      <w:kern w:val="2"/>
      <w:sz w:val="32"/>
      <w:szCs w:val="32"/>
    </w:rPr>
  </w:style>
  <w:style w:type="character" w:customStyle="1" w:styleId="38">
    <w:name w:val="标题 Char"/>
    <w:basedOn w:val="21"/>
    <w:link w:val="18"/>
    <w:qFormat/>
    <w:uiPriority w:val="10"/>
    <w:rPr>
      <w:rFonts w:ascii="Times New Roman" w:hAnsi="Times New Roman" w:cstheme="majorBidi"/>
      <w:b/>
      <w:bCs/>
      <w:kern w:val="2"/>
      <w:sz w:val="32"/>
      <w:szCs w:val="32"/>
    </w:rPr>
  </w:style>
  <w:style w:type="paragraph" w:customStyle="1" w:styleId="39">
    <w:name w:val="一级标题"/>
    <w:basedOn w:val="18"/>
    <w:qFormat/>
    <w:uiPriority w:val="0"/>
    <w:rPr>
      <w:sz w:val="30"/>
    </w:rPr>
  </w:style>
  <w:style w:type="paragraph" w:customStyle="1" w:styleId="40">
    <w:name w:val="二级标题"/>
    <w:basedOn w:val="14"/>
    <w:qFormat/>
    <w:uiPriority w:val="0"/>
    <w:pPr>
      <w:adjustRightInd w:val="0"/>
      <w:spacing w:before="0" w:after="0" w:line="360" w:lineRule="auto"/>
      <w:jc w:val="left"/>
    </w:pPr>
    <w:rPr>
      <w:rFonts w:ascii="Times New Roman" w:hAnsi="Times New Roman" w:cs="宋体"/>
      <w:kern w:val="0"/>
      <w:sz w:val="28"/>
      <w:szCs w:val="30"/>
    </w:rPr>
  </w:style>
  <w:style w:type="paragraph" w:customStyle="1" w:styleId="41">
    <w:name w:val="三级标题"/>
    <w:basedOn w:val="14"/>
    <w:next w:val="1"/>
    <w:qFormat/>
    <w:uiPriority w:val="0"/>
    <w:pPr>
      <w:spacing w:before="0" w:after="0" w:line="360" w:lineRule="auto"/>
      <w:ind w:firstLine="200" w:firstLineChars="200"/>
      <w:jc w:val="left"/>
      <w:outlineLvl w:val="2"/>
    </w:pPr>
    <w:rPr>
      <w:rFonts w:ascii="宋体" w:hAnsi="宋体" w:cs="宋体"/>
      <w:kern w:val="0"/>
      <w:sz w:val="24"/>
    </w:rPr>
  </w:style>
  <w:style w:type="character" w:customStyle="1" w:styleId="42">
    <w:name w:val="副标题 Char"/>
    <w:basedOn w:val="21"/>
    <w:link w:val="14"/>
    <w:qFormat/>
    <w:uiPriority w:val="11"/>
    <w:rPr>
      <w:rFonts w:asciiTheme="majorHAnsi" w:hAnsiTheme="majorHAnsi" w:cstheme="majorBidi"/>
      <w:b/>
      <w:bCs/>
      <w:kern w:val="28"/>
      <w:sz w:val="32"/>
      <w:szCs w:val="32"/>
    </w:rPr>
  </w:style>
  <w:style w:type="paragraph" w:customStyle="1" w:styleId="4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F4A8A-B072-455D-B4E7-C23B17868A06}">
  <ds:schemaRefs/>
</ds:datastoreItem>
</file>

<file path=docProps/app.xml><?xml version="1.0" encoding="utf-8"?>
<Properties xmlns="http://schemas.openxmlformats.org/officeDocument/2006/extended-properties" xmlns:vt="http://schemas.openxmlformats.org/officeDocument/2006/docPropsVTypes">
  <Template>Normal</Template>
  <Company>shnu</Company>
  <Pages>20</Pages>
  <Words>10885</Words>
  <Characters>17533</Characters>
  <Lines>206</Lines>
  <Paragraphs>58</Paragraphs>
  <TotalTime>64</TotalTime>
  <ScaleCrop>false</ScaleCrop>
  <LinksUpToDate>false</LinksUpToDate>
  <CharactersWithSpaces>17956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2021-05-10T09:54:00Z</dcterms:created>
  <dc:creator>caiwen</dc:creator>
  <cp:lastModifiedBy>侧＾颜°</cp:lastModifiedBy>
  <cp:lastPrinted>2014-05-15T00:52:00Z</cp:lastPrinted>
  <dcterms:modified xsi:type="dcterms:W3CDTF">2022-05-18T06:28:31Z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E0441D064C0E4B58BECE1CFB7FD7DBC0</vt:lpwstr>
  </property>
  <property fmtid="{D5CDD505-2E9C-101B-9397-08002B2CF9AE}" pid="4" name="commondata">
    <vt:lpwstr>eyJoZGlkIjoiOWYxMTIwMzYwMTI0ODkyOTZiNzIxYTg3YmExMzkyZTEifQ==</vt:lpwstr>
  </property>
</Properties>
</file>