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78FB6" w14:textId="43723592" w:rsidR="002512D8" w:rsidRPr="005E4901" w:rsidRDefault="00424DD2" w:rsidP="005E4901">
      <w:pPr>
        <w:pStyle w:val="1"/>
        <w:jc w:val="left"/>
        <w:rPr>
          <w:b w:val="0"/>
          <w:bCs/>
          <w:sz w:val="36"/>
          <w:szCs w:val="36"/>
        </w:rPr>
      </w:pPr>
      <w:r w:rsidRPr="005E4901">
        <w:rPr>
          <w:rFonts w:hint="eastAsia"/>
          <w:b w:val="0"/>
          <w:bCs/>
          <w:sz w:val="36"/>
          <w:szCs w:val="36"/>
        </w:rPr>
        <w:t>在岸与离岸人民币汇率价差波动的影响因素研究</w:t>
      </w:r>
      <w:r w:rsidR="004235F8">
        <w:rPr>
          <w:rStyle w:val="ac"/>
          <w:b w:val="0"/>
          <w:bCs/>
          <w:sz w:val="36"/>
          <w:szCs w:val="36"/>
        </w:rPr>
        <w:footnoteReference w:id="1"/>
      </w:r>
      <w:r w:rsidR="005E4901">
        <w:rPr>
          <w:rStyle w:val="ac"/>
          <w:b w:val="0"/>
          <w:bCs/>
          <w:sz w:val="36"/>
          <w:szCs w:val="36"/>
        </w:rPr>
        <w:footnoteReference w:id="2"/>
      </w:r>
    </w:p>
    <w:p w14:paraId="300B0DB7" w14:textId="3319E805" w:rsidR="008D0DD7" w:rsidRDefault="008D0DD7" w:rsidP="008D0DD7">
      <w:pPr>
        <w:ind w:firstLine="420"/>
      </w:pPr>
    </w:p>
    <w:p w14:paraId="03E6DDB0" w14:textId="4AD3628F" w:rsidR="008D0DD7" w:rsidRDefault="008D0DD7" w:rsidP="008D0DD7">
      <w:pPr>
        <w:ind w:firstLine="420"/>
      </w:pPr>
    </w:p>
    <w:p w14:paraId="78A64922" w14:textId="27C356F0" w:rsidR="008D0DD7" w:rsidRDefault="008D0DD7" w:rsidP="00AD3EF6">
      <w:pPr>
        <w:spacing w:line="480" w:lineRule="exact"/>
        <w:ind w:firstLineChars="0" w:firstLine="0"/>
        <w:jc w:val="left"/>
        <w:rPr>
          <w:rFonts w:asciiTheme="minorEastAsia" w:hAnsiTheme="minorEastAsia"/>
        </w:rPr>
      </w:pPr>
      <w:r>
        <w:rPr>
          <w:rFonts w:asciiTheme="minorEastAsia" w:hAnsiTheme="minorEastAsia" w:hint="eastAsia"/>
        </w:rPr>
        <w:t>李小平 范丽</w:t>
      </w:r>
      <w:r w:rsidR="0069470B">
        <w:rPr>
          <w:rFonts w:asciiTheme="minorEastAsia" w:hAnsiTheme="minorEastAsia" w:hint="eastAsia"/>
        </w:rPr>
        <w:t>爽</w:t>
      </w:r>
      <w:r w:rsidR="0069470B">
        <w:rPr>
          <w:rStyle w:val="ac"/>
          <w:rFonts w:asciiTheme="minorEastAsia" w:hAnsiTheme="minorEastAsia"/>
        </w:rPr>
        <w:footnoteReference w:id="3"/>
      </w:r>
    </w:p>
    <w:p w14:paraId="1E508A4D" w14:textId="77777777" w:rsidR="008D0DD7" w:rsidRDefault="008D0DD7" w:rsidP="00AD3EF6">
      <w:pPr>
        <w:spacing w:line="480" w:lineRule="exact"/>
        <w:ind w:firstLineChars="0" w:firstLine="0"/>
        <w:jc w:val="left"/>
        <w:rPr>
          <w:rFonts w:asciiTheme="minorEastAsia" w:hAnsiTheme="minorEastAsia"/>
          <w:vertAlign w:val="superscript"/>
        </w:rPr>
      </w:pPr>
      <w:r>
        <w:rPr>
          <w:rFonts w:asciiTheme="minorEastAsia" w:hAnsiTheme="minorEastAsia" w:hint="eastAsia"/>
        </w:rPr>
        <w:t xml:space="preserve">（上海师范大学 商学院，上海 </w:t>
      </w:r>
      <w:r>
        <w:rPr>
          <w:rFonts w:asciiTheme="minorEastAsia" w:hAnsiTheme="minorEastAsia"/>
        </w:rPr>
        <w:t>200234</w:t>
      </w:r>
      <w:r>
        <w:rPr>
          <w:rFonts w:asciiTheme="minorEastAsia" w:hAnsiTheme="minorEastAsia" w:hint="eastAsia"/>
        </w:rPr>
        <w:t>）</w:t>
      </w:r>
    </w:p>
    <w:p w14:paraId="12D663A6" w14:textId="77777777" w:rsidR="008D0DD7" w:rsidRDefault="008D0DD7" w:rsidP="008D0DD7">
      <w:pPr>
        <w:spacing w:line="480" w:lineRule="exact"/>
        <w:ind w:firstLine="482"/>
        <w:rPr>
          <w:rFonts w:asciiTheme="minorEastAsia" w:hAnsiTheme="minorEastAsia"/>
          <w:b/>
          <w:sz w:val="24"/>
        </w:rPr>
      </w:pPr>
    </w:p>
    <w:p w14:paraId="78BF9D2F" w14:textId="77777777" w:rsidR="008D0DD7" w:rsidRPr="008D0DD7" w:rsidRDefault="008D0DD7" w:rsidP="008D0DD7">
      <w:pPr>
        <w:ind w:firstLine="420"/>
      </w:pPr>
    </w:p>
    <w:p w14:paraId="1BE31F26" w14:textId="2A457683" w:rsidR="002512D8" w:rsidRPr="008D0DD7" w:rsidRDefault="00424DD2" w:rsidP="008D0DD7">
      <w:pPr>
        <w:ind w:firstLine="422"/>
        <w:rPr>
          <w:color w:val="000000" w:themeColor="text1"/>
        </w:rPr>
      </w:pPr>
      <w:r>
        <w:rPr>
          <w:rFonts w:hint="eastAsia"/>
          <w:b/>
          <w:bCs/>
        </w:rPr>
        <w:t>摘要：</w:t>
      </w:r>
      <w:r>
        <w:rPr>
          <w:rFonts w:hint="eastAsia"/>
          <w:color w:val="000000" w:themeColor="text1"/>
        </w:rPr>
        <w:t>本研究利用</w:t>
      </w:r>
      <w:r>
        <w:rPr>
          <w:rFonts w:hint="eastAsia"/>
          <w:color w:val="000000" w:themeColor="text1"/>
        </w:rPr>
        <w:t>GARCH-MIDAS</w:t>
      </w:r>
      <w:r>
        <w:rPr>
          <w:rFonts w:hint="eastAsia"/>
          <w:color w:val="000000" w:themeColor="text1"/>
        </w:rPr>
        <w:t>模型分别研究了基本面变量</w:t>
      </w:r>
      <w:r w:rsidR="00687BF4">
        <w:rPr>
          <w:rFonts w:hint="eastAsia"/>
          <w:color w:val="000000" w:themeColor="text1"/>
        </w:rPr>
        <w:t>、</w:t>
      </w:r>
      <w:r w:rsidR="00405C52">
        <w:rPr>
          <w:rFonts w:hint="eastAsia"/>
          <w:color w:val="000000" w:themeColor="text1"/>
        </w:rPr>
        <w:t>政治经济环境</w:t>
      </w:r>
      <w:r>
        <w:rPr>
          <w:rFonts w:hint="eastAsia"/>
          <w:color w:val="000000" w:themeColor="text1"/>
        </w:rPr>
        <w:t>变量</w:t>
      </w:r>
      <w:r w:rsidR="00405C52">
        <w:rPr>
          <w:rFonts w:hint="eastAsia"/>
          <w:color w:val="000000" w:themeColor="text1"/>
        </w:rPr>
        <w:t>、投资者关注度</w:t>
      </w:r>
      <w:r w:rsidR="00687BF4">
        <w:rPr>
          <w:rFonts w:hint="eastAsia"/>
          <w:color w:val="000000" w:themeColor="text1"/>
        </w:rPr>
        <w:t>和政策变量对在岸与离岸人民币汇率价差波动的影响</w:t>
      </w:r>
      <w:r>
        <w:rPr>
          <w:rFonts w:hint="eastAsia"/>
          <w:color w:val="000000" w:themeColor="text1"/>
        </w:rPr>
        <w:t>。结果表明</w:t>
      </w:r>
      <w:r w:rsidR="00687BF4">
        <w:rPr>
          <w:rFonts w:hint="eastAsia"/>
          <w:color w:val="000000" w:themeColor="text1"/>
        </w:rPr>
        <w:t>基本面变量</w:t>
      </w:r>
      <w:r w:rsidR="00A14BA0">
        <w:rPr>
          <w:rFonts w:hint="eastAsia"/>
          <w:color w:val="000000" w:themeColor="text1"/>
        </w:rPr>
        <w:t>如</w:t>
      </w:r>
      <w:r>
        <w:rPr>
          <w:rFonts w:hint="eastAsia"/>
          <w:color w:val="000000" w:themeColor="text1"/>
        </w:rPr>
        <w:t>中美利差</w:t>
      </w:r>
      <w:r w:rsidR="00405C52">
        <w:rPr>
          <w:rFonts w:hint="eastAsia"/>
          <w:color w:val="000000" w:themeColor="text1"/>
        </w:rPr>
        <w:t>与</w:t>
      </w:r>
      <w:r w:rsidR="00687BF4">
        <w:rPr>
          <w:rFonts w:hint="eastAsia"/>
          <w:color w:val="000000" w:themeColor="text1"/>
        </w:rPr>
        <w:t>在</w:t>
      </w:r>
      <w:r w:rsidR="00814514">
        <w:rPr>
          <w:rFonts w:hint="eastAsia"/>
          <w:color w:val="000000" w:themeColor="text1"/>
        </w:rPr>
        <w:t>岸</w:t>
      </w:r>
      <w:r w:rsidR="00687BF4">
        <w:rPr>
          <w:rFonts w:hint="eastAsia"/>
          <w:color w:val="000000" w:themeColor="text1"/>
        </w:rPr>
        <w:t>离岸人民币汇差</w:t>
      </w:r>
      <w:r>
        <w:rPr>
          <w:rFonts w:hint="eastAsia"/>
          <w:color w:val="000000" w:themeColor="text1"/>
        </w:rPr>
        <w:t>波动是负向</w:t>
      </w:r>
      <w:r w:rsidR="005019CA">
        <w:rPr>
          <w:rFonts w:hint="eastAsia"/>
          <w:color w:val="000000" w:themeColor="text1"/>
        </w:rPr>
        <w:t>影响</w:t>
      </w:r>
      <w:r w:rsidR="00687BF4">
        <w:rPr>
          <w:rFonts w:hint="eastAsia"/>
          <w:color w:val="000000" w:themeColor="text1"/>
        </w:rPr>
        <w:t>关系</w:t>
      </w:r>
      <w:r w:rsidR="00405C52">
        <w:rPr>
          <w:rFonts w:hint="eastAsia"/>
          <w:color w:val="000000" w:themeColor="text1"/>
        </w:rPr>
        <w:t>，</w:t>
      </w:r>
      <w:r w:rsidR="00165DC0">
        <w:rPr>
          <w:rFonts w:hint="eastAsia"/>
          <w:color w:val="000000" w:themeColor="text1"/>
        </w:rPr>
        <w:t>而</w:t>
      </w:r>
      <w:r w:rsidR="00496823">
        <w:rPr>
          <w:rFonts w:hint="eastAsia"/>
          <w:color w:val="000000" w:themeColor="text1"/>
        </w:rPr>
        <w:t>人民币贬值预期</w:t>
      </w:r>
      <w:r w:rsidR="00405C52">
        <w:rPr>
          <w:rFonts w:hint="eastAsia"/>
          <w:color w:val="000000" w:themeColor="text1"/>
        </w:rPr>
        <w:t>与该汇差波动是正向影响关系；政治经济</w:t>
      </w:r>
      <w:r w:rsidR="00687BF4">
        <w:rPr>
          <w:rFonts w:hint="eastAsia"/>
          <w:color w:val="000000" w:themeColor="text1"/>
        </w:rPr>
        <w:t>环境变量</w:t>
      </w:r>
      <w:r w:rsidR="00A14BA0">
        <w:rPr>
          <w:rFonts w:hint="eastAsia"/>
          <w:color w:val="000000" w:themeColor="text1"/>
        </w:rPr>
        <w:t>如</w:t>
      </w:r>
      <w:r w:rsidR="00496823">
        <w:rPr>
          <w:rFonts w:hint="eastAsia"/>
          <w:color w:val="000000" w:themeColor="text1"/>
        </w:rPr>
        <w:t>经济政策不确定性、地缘政治风险</w:t>
      </w:r>
      <w:r w:rsidR="009013B6">
        <w:rPr>
          <w:rFonts w:hint="eastAsia"/>
          <w:color w:val="000000" w:themeColor="text1"/>
        </w:rPr>
        <w:t>，</w:t>
      </w:r>
      <w:r w:rsidR="00814514">
        <w:rPr>
          <w:rFonts w:hint="eastAsia"/>
          <w:color w:val="000000" w:themeColor="text1"/>
        </w:rPr>
        <w:t>投资者关注度变量如</w:t>
      </w:r>
      <w:r w:rsidR="009013B6">
        <w:rPr>
          <w:rFonts w:hint="eastAsia"/>
          <w:color w:val="000000" w:themeColor="text1"/>
        </w:rPr>
        <w:t>国内和国际投资者关注度</w:t>
      </w:r>
      <w:r w:rsidR="00405C52">
        <w:rPr>
          <w:rFonts w:hint="eastAsia"/>
          <w:color w:val="000000" w:themeColor="text1"/>
        </w:rPr>
        <w:t>与</w:t>
      </w:r>
      <w:r w:rsidR="00A14BA0">
        <w:rPr>
          <w:rFonts w:hint="eastAsia"/>
          <w:color w:val="000000" w:themeColor="text1"/>
        </w:rPr>
        <w:t>该汇</w:t>
      </w:r>
      <w:r w:rsidR="00687BF4">
        <w:rPr>
          <w:rFonts w:hint="eastAsia"/>
          <w:color w:val="000000" w:themeColor="text1"/>
        </w:rPr>
        <w:t>差波动是正向</w:t>
      </w:r>
      <w:r w:rsidR="005019CA">
        <w:rPr>
          <w:rFonts w:hint="eastAsia"/>
          <w:color w:val="000000" w:themeColor="text1"/>
        </w:rPr>
        <w:t>影响</w:t>
      </w:r>
      <w:r w:rsidR="00687BF4">
        <w:rPr>
          <w:rFonts w:hint="eastAsia"/>
          <w:color w:val="000000" w:themeColor="text1"/>
        </w:rPr>
        <w:t>关系；政策变量</w:t>
      </w:r>
      <w:r w:rsidR="00A14BA0">
        <w:rPr>
          <w:rFonts w:hint="eastAsia"/>
          <w:color w:val="000000" w:themeColor="text1"/>
        </w:rPr>
        <w:t>如</w:t>
      </w:r>
      <w:r w:rsidR="00496823">
        <w:rPr>
          <w:rFonts w:hint="eastAsia"/>
          <w:color w:val="000000" w:themeColor="text1"/>
        </w:rPr>
        <w:t>人民币兑美元汇率中间价机制改革</w:t>
      </w:r>
      <w:r w:rsidR="005019CA">
        <w:rPr>
          <w:rFonts w:hint="eastAsia"/>
          <w:color w:val="000000" w:themeColor="text1"/>
        </w:rPr>
        <w:t>和</w:t>
      </w:r>
      <w:r w:rsidR="00496823">
        <w:rPr>
          <w:rFonts w:hint="eastAsia"/>
          <w:color w:val="000000" w:themeColor="text1"/>
        </w:rPr>
        <w:t>人民币国际化进程</w:t>
      </w:r>
      <w:r w:rsidR="00405C52">
        <w:rPr>
          <w:rFonts w:hint="eastAsia"/>
          <w:color w:val="000000" w:themeColor="text1"/>
        </w:rPr>
        <w:t>与</w:t>
      </w:r>
      <w:r w:rsidR="00A14BA0">
        <w:rPr>
          <w:rFonts w:hint="eastAsia"/>
          <w:color w:val="000000" w:themeColor="text1"/>
        </w:rPr>
        <w:t>该</w:t>
      </w:r>
      <w:r>
        <w:rPr>
          <w:rFonts w:hint="eastAsia"/>
          <w:color w:val="000000" w:themeColor="text1"/>
        </w:rPr>
        <w:t>汇差波动是正向影响关系。基于以上结论本文建议为了降低</w:t>
      </w:r>
      <w:r w:rsidR="00814514">
        <w:rPr>
          <w:rFonts w:hint="eastAsia"/>
          <w:color w:val="000000" w:themeColor="text1"/>
        </w:rPr>
        <w:t>在岸离岸汇差</w:t>
      </w:r>
      <w:r>
        <w:rPr>
          <w:rFonts w:hint="eastAsia"/>
          <w:color w:val="000000" w:themeColor="text1"/>
        </w:rPr>
        <w:t>的波动，</w:t>
      </w:r>
      <w:r w:rsidR="00411C71">
        <w:rPr>
          <w:rFonts w:hint="eastAsia"/>
        </w:rPr>
        <w:t>采取针对性措施缓和地缘合作氛围和经济政策不确定性的影响，对国内和</w:t>
      </w:r>
      <w:r w:rsidR="009013B6">
        <w:rPr>
          <w:rFonts w:hint="eastAsia"/>
        </w:rPr>
        <w:t>国际</w:t>
      </w:r>
      <w:r w:rsidR="00411C71">
        <w:rPr>
          <w:rFonts w:hint="eastAsia"/>
        </w:rPr>
        <w:t>投资者关注带来的冲击加以重视，对</w:t>
      </w:r>
      <w:r w:rsidR="00EF4109">
        <w:rPr>
          <w:rFonts w:hint="eastAsia"/>
        </w:rPr>
        <w:t>在</w:t>
      </w:r>
      <w:r w:rsidR="00814514">
        <w:rPr>
          <w:rFonts w:hint="eastAsia"/>
        </w:rPr>
        <w:t>岸</w:t>
      </w:r>
      <w:r w:rsidR="00EF4109">
        <w:rPr>
          <w:rFonts w:hint="eastAsia"/>
        </w:rPr>
        <w:t>离</w:t>
      </w:r>
      <w:r w:rsidR="00411C71">
        <w:rPr>
          <w:rFonts w:hint="eastAsia"/>
        </w:rPr>
        <w:t>岸</w:t>
      </w:r>
      <w:r w:rsidR="00814514">
        <w:rPr>
          <w:rFonts w:hint="eastAsia"/>
        </w:rPr>
        <w:t>汇差</w:t>
      </w:r>
      <w:r w:rsidR="00411C71">
        <w:rPr>
          <w:rFonts w:hint="eastAsia"/>
        </w:rPr>
        <w:t>进行宏观审慎调节。</w:t>
      </w:r>
    </w:p>
    <w:p w14:paraId="0FAC20DE" w14:textId="23DEC59D" w:rsidR="002512D8" w:rsidRPr="00F15DDD" w:rsidRDefault="00424DD2" w:rsidP="00F15DDD">
      <w:pPr>
        <w:ind w:firstLine="422"/>
        <w:rPr>
          <w:color w:val="000000" w:themeColor="text1"/>
        </w:rPr>
      </w:pPr>
      <w:r>
        <w:rPr>
          <w:rFonts w:hint="eastAsia"/>
          <w:b/>
          <w:bCs/>
          <w:color w:val="000000" w:themeColor="text1"/>
        </w:rPr>
        <w:t>关键词：</w:t>
      </w:r>
      <w:r>
        <w:rPr>
          <w:rFonts w:hint="eastAsia"/>
          <w:color w:val="000000" w:themeColor="text1"/>
        </w:rPr>
        <w:t>在岸与离岸人民币；经济政策不确定性；地缘政治风险；</w:t>
      </w:r>
      <w:r w:rsidR="00C552F7">
        <w:rPr>
          <w:rFonts w:hint="eastAsia"/>
          <w:color w:val="000000" w:themeColor="text1"/>
        </w:rPr>
        <w:t>投资者关注度</w:t>
      </w:r>
      <w:r w:rsidR="00C552F7">
        <w:rPr>
          <w:color w:val="000000" w:themeColor="text1"/>
        </w:rPr>
        <w:t xml:space="preserve"> </w:t>
      </w:r>
    </w:p>
    <w:p w14:paraId="597598CC" w14:textId="77777777" w:rsidR="002512D8" w:rsidRDefault="002512D8" w:rsidP="00F15DDD">
      <w:pPr>
        <w:ind w:firstLine="420"/>
      </w:pPr>
    </w:p>
    <w:p w14:paraId="7718083F" w14:textId="77777777" w:rsidR="00A201CD" w:rsidRDefault="00A201CD" w:rsidP="00F15DDD">
      <w:pPr>
        <w:ind w:firstLine="420"/>
        <w:sectPr w:rsidR="00A201CD" w:rsidSect="00A201CD">
          <w:headerReference w:type="even" r:id="rId9"/>
          <w:headerReference w:type="default" r:id="rId10"/>
          <w:footerReference w:type="even" r:id="rId11"/>
          <w:footerReference w:type="default" r:id="rId12"/>
          <w:headerReference w:type="first" r:id="rId13"/>
          <w:footerReference w:type="first" r:id="rId14"/>
          <w:footnotePr>
            <w:numFmt w:val="decimalEnclosedCircleChinese"/>
          </w:footnotePr>
          <w:pgSz w:w="11906" w:h="16838"/>
          <w:pgMar w:top="1440" w:right="1800" w:bottom="1440" w:left="1800" w:header="851" w:footer="992" w:gutter="0"/>
          <w:cols w:space="425"/>
          <w:docGrid w:type="lines" w:linePitch="312"/>
        </w:sectPr>
      </w:pPr>
    </w:p>
    <w:p w14:paraId="2248BF38" w14:textId="525ACEE9" w:rsidR="00195AC6" w:rsidRDefault="00195AC6" w:rsidP="00195AC6">
      <w:pPr>
        <w:ind w:firstLine="562"/>
        <w:jc w:val="center"/>
        <w:textAlignment w:val="center"/>
        <w:rPr>
          <w:b/>
          <w:sz w:val="28"/>
          <w:szCs w:val="28"/>
        </w:rPr>
      </w:pPr>
      <w:r>
        <w:rPr>
          <w:b/>
          <w:sz w:val="28"/>
          <w:szCs w:val="28"/>
        </w:rPr>
        <w:lastRenderedPageBreak/>
        <w:t xml:space="preserve">Study on Influencing Factors of RMB </w:t>
      </w:r>
      <w:r w:rsidR="0026741F">
        <w:rPr>
          <w:b/>
          <w:sz w:val="28"/>
          <w:szCs w:val="28"/>
        </w:rPr>
        <w:t>E</w:t>
      </w:r>
      <w:r>
        <w:rPr>
          <w:b/>
          <w:sz w:val="28"/>
          <w:szCs w:val="28"/>
        </w:rPr>
        <w:t xml:space="preserve">xchange </w:t>
      </w:r>
      <w:r w:rsidR="0026741F">
        <w:rPr>
          <w:b/>
          <w:sz w:val="28"/>
          <w:szCs w:val="28"/>
        </w:rPr>
        <w:t>R</w:t>
      </w:r>
      <w:r>
        <w:rPr>
          <w:b/>
          <w:sz w:val="28"/>
          <w:szCs w:val="28"/>
        </w:rPr>
        <w:t xml:space="preserve">ate </w:t>
      </w:r>
      <w:r w:rsidR="0026741F">
        <w:rPr>
          <w:b/>
          <w:sz w:val="28"/>
          <w:szCs w:val="28"/>
        </w:rPr>
        <w:t>S</w:t>
      </w:r>
      <w:r>
        <w:rPr>
          <w:b/>
          <w:sz w:val="28"/>
          <w:szCs w:val="28"/>
        </w:rPr>
        <w:t xml:space="preserve">pread </w:t>
      </w:r>
      <w:r w:rsidR="0026741F">
        <w:rPr>
          <w:b/>
          <w:sz w:val="28"/>
          <w:szCs w:val="28"/>
        </w:rPr>
        <w:t>F</w:t>
      </w:r>
      <w:r>
        <w:rPr>
          <w:b/>
          <w:sz w:val="28"/>
          <w:szCs w:val="28"/>
        </w:rPr>
        <w:t xml:space="preserve">luctuation between </w:t>
      </w:r>
      <w:r w:rsidR="0026741F">
        <w:rPr>
          <w:b/>
          <w:sz w:val="28"/>
          <w:szCs w:val="28"/>
        </w:rPr>
        <w:t>O</w:t>
      </w:r>
      <w:r>
        <w:rPr>
          <w:b/>
          <w:sz w:val="28"/>
          <w:szCs w:val="28"/>
        </w:rPr>
        <w:t xml:space="preserve">nshore and </w:t>
      </w:r>
      <w:r w:rsidR="0026741F">
        <w:rPr>
          <w:b/>
          <w:sz w:val="28"/>
          <w:szCs w:val="28"/>
        </w:rPr>
        <w:t>O</w:t>
      </w:r>
      <w:r>
        <w:rPr>
          <w:b/>
          <w:sz w:val="28"/>
          <w:szCs w:val="28"/>
        </w:rPr>
        <w:t>ffshore</w:t>
      </w:r>
    </w:p>
    <w:p w14:paraId="5BDC9B7D" w14:textId="71AA24CA" w:rsidR="00195AC6" w:rsidRDefault="00195AC6" w:rsidP="00195AC6">
      <w:pPr>
        <w:spacing w:line="480" w:lineRule="exact"/>
        <w:ind w:firstLine="480"/>
        <w:jc w:val="center"/>
        <w:rPr>
          <w:sz w:val="24"/>
          <w:vertAlign w:val="superscript"/>
        </w:rPr>
      </w:pPr>
      <w:r>
        <w:rPr>
          <w:sz w:val="24"/>
          <w:szCs w:val="22"/>
        </w:rPr>
        <w:t>Xiaoping</w:t>
      </w:r>
      <w:r>
        <w:rPr>
          <w:rFonts w:hint="eastAsia"/>
          <w:sz w:val="24"/>
          <w:szCs w:val="22"/>
        </w:rPr>
        <w:t xml:space="preserve"> </w:t>
      </w:r>
      <w:r>
        <w:rPr>
          <w:sz w:val="24"/>
          <w:szCs w:val="22"/>
        </w:rPr>
        <w:t>LI</w:t>
      </w:r>
      <w:r w:rsidR="004235F8">
        <w:rPr>
          <w:sz w:val="24"/>
          <w:szCs w:val="22"/>
          <w:vertAlign w:val="superscript"/>
        </w:rPr>
        <w:t>1</w:t>
      </w:r>
      <w:r>
        <w:rPr>
          <w:rFonts w:hint="eastAsia"/>
          <w:sz w:val="24"/>
          <w:szCs w:val="22"/>
        </w:rPr>
        <w:t xml:space="preserve">, </w:t>
      </w:r>
      <w:proofErr w:type="spellStart"/>
      <w:r>
        <w:rPr>
          <w:sz w:val="24"/>
          <w:szCs w:val="22"/>
        </w:rPr>
        <w:t>Lishuang</w:t>
      </w:r>
      <w:proofErr w:type="spellEnd"/>
      <w:r>
        <w:rPr>
          <w:rFonts w:hint="eastAsia"/>
          <w:sz w:val="24"/>
          <w:szCs w:val="22"/>
        </w:rPr>
        <w:t xml:space="preserve"> </w:t>
      </w:r>
      <w:r>
        <w:rPr>
          <w:sz w:val="24"/>
          <w:szCs w:val="22"/>
        </w:rPr>
        <w:t>FAN</w:t>
      </w:r>
      <w:r>
        <w:rPr>
          <w:rFonts w:hint="eastAsia"/>
          <w:sz w:val="24"/>
          <w:szCs w:val="22"/>
          <w:vertAlign w:val="superscript"/>
        </w:rPr>
        <w:t>1</w:t>
      </w:r>
    </w:p>
    <w:p w14:paraId="3945E393" w14:textId="77777777" w:rsidR="00195AC6" w:rsidRDefault="00195AC6" w:rsidP="00195AC6">
      <w:pPr>
        <w:numPr>
          <w:ilvl w:val="0"/>
          <w:numId w:val="13"/>
        </w:numPr>
        <w:spacing w:line="480" w:lineRule="exact"/>
        <w:ind w:firstLineChars="0"/>
        <w:jc w:val="center"/>
        <w:rPr>
          <w:sz w:val="24"/>
        </w:rPr>
      </w:pPr>
      <w:r>
        <w:rPr>
          <w:rFonts w:hint="eastAsia"/>
          <w:sz w:val="24"/>
          <w:szCs w:val="22"/>
        </w:rPr>
        <w:t>Shanghai Normal University, Shanghai 200234, China)</w:t>
      </w:r>
    </w:p>
    <w:p w14:paraId="49385E16" w14:textId="24D6D57F" w:rsidR="00195AC6" w:rsidRDefault="00195AC6" w:rsidP="00195AC6">
      <w:pPr>
        <w:ind w:firstLineChars="0" w:firstLine="0"/>
        <w:textAlignment w:val="center"/>
        <w:rPr>
          <w:bCs/>
          <w:sz w:val="24"/>
          <w:szCs w:val="24"/>
        </w:rPr>
      </w:pPr>
    </w:p>
    <w:p w14:paraId="60C92275" w14:textId="77777777" w:rsidR="00AD3EF6" w:rsidRDefault="00AD3EF6" w:rsidP="00195AC6">
      <w:pPr>
        <w:ind w:firstLineChars="0" w:firstLine="0"/>
        <w:textAlignment w:val="center"/>
        <w:rPr>
          <w:rFonts w:hint="eastAsia"/>
          <w:bCs/>
          <w:sz w:val="24"/>
          <w:szCs w:val="24"/>
        </w:rPr>
      </w:pPr>
    </w:p>
    <w:p w14:paraId="2E05CFBE" w14:textId="77777777" w:rsidR="006F3DB3" w:rsidRDefault="00195AC6" w:rsidP="00195AC6">
      <w:pPr>
        <w:ind w:firstLine="482"/>
        <w:textAlignment w:val="center"/>
        <w:rPr>
          <w:bCs/>
          <w:sz w:val="24"/>
          <w:szCs w:val="24"/>
        </w:rPr>
      </w:pPr>
      <w:r>
        <w:rPr>
          <w:b/>
          <w:sz w:val="24"/>
          <w:szCs w:val="24"/>
        </w:rPr>
        <w:t>Abstract:</w:t>
      </w:r>
      <w:r>
        <w:rPr>
          <w:bCs/>
          <w:sz w:val="24"/>
          <w:szCs w:val="24"/>
        </w:rPr>
        <w:t xml:space="preserve"> </w:t>
      </w:r>
      <w:r w:rsidR="006F3DB3" w:rsidRPr="006F3DB3">
        <w:rPr>
          <w:bCs/>
          <w:sz w:val="24"/>
          <w:szCs w:val="24"/>
        </w:rPr>
        <w:t xml:space="preserve">This study uses </w:t>
      </w:r>
      <w:proofErr w:type="spellStart"/>
      <w:r w:rsidR="006F3DB3" w:rsidRPr="006F3DB3">
        <w:rPr>
          <w:bCs/>
          <w:sz w:val="24"/>
          <w:szCs w:val="24"/>
        </w:rPr>
        <w:t>garch-midas</w:t>
      </w:r>
      <w:proofErr w:type="spellEnd"/>
      <w:r w:rsidR="006F3DB3" w:rsidRPr="006F3DB3">
        <w:rPr>
          <w:bCs/>
          <w:sz w:val="24"/>
          <w:szCs w:val="24"/>
        </w:rPr>
        <w:t xml:space="preserve"> model to study the effects of fundamental variables, political and economic environment variables, investor attention and policy variables on the fluctuation of onshore and offshore RMB exchange rate spread. The results show that fundamental variables such as the interest rate spread between China and the United States and the fluctuation of onshore and offshore RMB exchange rate spread are negative, while the expectation of RMB devaluation is positive; Political and economic environment variables such as economic policy uncertainty and geopolitical risk, and investor attention variables such as domestic and international investor attention have a positive relationship with the fluctuation of the exchange difference; Policy variables such as the reform of the central parity mechanism of RMB against the US dollar and the process of RMB internationalization have a positive impact on the fluctuation of the exchange difference. Based on the above conclusions, this paper suggests that in order to reduce the fluctuation of onshore and offshore exchange differences, targeted measures should be taken to mitigate the impact of geo cooperation atmosphere and economic policy uncertainty, pay attention to the impact brought by the attention of domestic and international investors, and conduct macro-examination and careful adjustment of onshore and offshore exchange differences.</w:t>
      </w:r>
    </w:p>
    <w:p w14:paraId="11EDDF07" w14:textId="6D08C351" w:rsidR="00195AC6" w:rsidRDefault="00195AC6" w:rsidP="00195AC6">
      <w:pPr>
        <w:ind w:firstLine="482"/>
        <w:textAlignment w:val="center"/>
        <w:rPr>
          <w:bCs/>
          <w:sz w:val="24"/>
          <w:szCs w:val="24"/>
        </w:rPr>
      </w:pPr>
      <w:r>
        <w:rPr>
          <w:b/>
          <w:sz w:val="24"/>
          <w:szCs w:val="24"/>
        </w:rPr>
        <w:t>Key</w:t>
      </w:r>
      <w:r w:rsidR="00FF3990">
        <w:rPr>
          <w:b/>
          <w:sz w:val="24"/>
          <w:szCs w:val="24"/>
        </w:rPr>
        <w:t xml:space="preserve"> W</w:t>
      </w:r>
      <w:r>
        <w:rPr>
          <w:b/>
          <w:sz w:val="24"/>
          <w:szCs w:val="24"/>
        </w:rPr>
        <w:t>ords:</w:t>
      </w:r>
      <w:r>
        <w:rPr>
          <w:bCs/>
          <w:sz w:val="24"/>
          <w:szCs w:val="24"/>
        </w:rPr>
        <w:t xml:space="preserve"> Onshore and offshore RMB;</w:t>
      </w:r>
      <w:r w:rsidR="00AB2C58">
        <w:rPr>
          <w:bCs/>
          <w:sz w:val="24"/>
          <w:szCs w:val="24"/>
        </w:rPr>
        <w:t xml:space="preserve"> </w:t>
      </w:r>
      <w:r>
        <w:rPr>
          <w:bCs/>
          <w:sz w:val="24"/>
          <w:szCs w:val="24"/>
        </w:rPr>
        <w:t xml:space="preserve">Economic policy uncertainty; Geopolitical risk; </w:t>
      </w:r>
      <w:r w:rsidRPr="00CF491E">
        <w:rPr>
          <w:bCs/>
          <w:sz w:val="24"/>
          <w:szCs w:val="24"/>
        </w:rPr>
        <w:t>Investor attention</w:t>
      </w:r>
    </w:p>
    <w:p w14:paraId="4738AB27" w14:textId="77777777" w:rsidR="00195AC6" w:rsidRDefault="00195AC6" w:rsidP="00195AC6">
      <w:pPr>
        <w:ind w:firstLineChars="83" w:firstLine="199"/>
        <w:textAlignment w:val="center"/>
        <w:rPr>
          <w:rFonts w:hint="eastAsia"/>
          <w:bCs/>
          <w:sz w:val="24"/>
          <w:szCs w:val="24"/>
        </w:rPr>
        <w:sectPr w:rsidR="00195AC6" w:rsidSect="00922BA5">
          <w:footerReference w:type="default" r:id="rId15"/>
          <w:pgSz w:w="11906" w:h="16838"/>
          <w:pgMar w:top="1440" w:right="1800" w:bottom="1440" w:left="1800" w:header="851" w:footer="992" w:gutter="0"/>
          <w:pgNumType w:start="1"/>
          <w:cols w:space="425"/>
          <w:docGrid w:type="lines" w:linePitch="312"/>
        </w:sectPr>
      </w:pPr>
    </w:p>
    <w:p w14:paraId="1C49A4CA" w14:textId="4CFD9314" w:rsidR="002512D8" w:rsidRDefault="00424DD2" w:rsidP="001A286F">
      <w:pPr>
        <w:pStyle w:val="1"/>
      </w:pPr>
      <w:r>
        <w:rPr>
          <w:rFonts w:hint="eastAsia"/>
        </w:rPr>
        <w:lastRenderedPageBreak/>
        <w:t>一、引言</w:t>
      </w:r>
    </w:p>
    <w:p w14:paraId="5043A4C3" w14:textId="3E8203F4" w:rsidR="002512D8" w:rsidRDefault="00424DD2" w:rsidP="00527A57">
      <w:pPr>
        <w:ind w:firstLine="420"/>
      </w:pPr>
      <w:r>
        <w:rPr>
          <w:rFonts w:hint="eastAsia"/>
        </w:rPr>
        <w:t>2010</w:t>
      </w:r>
      <w:r>
        <w:rPr>
          <w:rFonts w:hint="eastAsia"/>
        </w:rPr>
        <w:t>年</w:t>
      </w:r>
      <w:r>
        <w:rPr>
          <w:rFonts w:hint="eastAsia"/>
        </w:rPr>
        <w:t>7</w:t>
      </w:r>
      <w:r>
        <w:rPr>
          <w:rFonts w:hint="eastAsia"/>
        </w:rPr>
        <w:t>月</w:t>
      </w:r>
      <w:r>
        <w:rPr>
          <w:rFonts w:hint="eastAsia"/>
        </w:rPr>
        <w:t>19</w:t>
      </w:r>
      <w:r>
        <w:rPr>
          <w:rFonts w:hint="eastAsia"/>
        </w:rPr>
        <w:t>日香港离岸人民币市场（</w:t>
      </w:r>
      <w:r>
        <w:rPr>
          <w:rFonts w:hint="eastAsia"/>
        </w:rPr>
        <w:t>CNH</w:t>
      </w:r>
      <w:r>
        <w:rPr>
          <w:rFonts w:hint="eastAsia"/>
        </w:rPr>
        <w:t>市场）建立，由于离岸人民币市场开放程度、价格形成机制、受央行管制程度和资本管制与在岸人民币市场（</w:t>
      </w:r>
      <w:r>
        <w:rPr>
          <w:rFonts w:hint="eastAsia"/>
        </w:rPr>
        <w:t>CNY</w:t>
      </w:r>
      <w:r>
        <w:rPr>
          <w:rFonts w:hint="eastAsia"/>
        </w:rPr>
        <w:t>市场）不同而使市场形成了“一种货币，两种价格”的局面。在这样的背景下，在岸与离岸人民币汇率价差（简称“</w:t>
      </w:r>
      <w:r>
        <w:rPr>
          <w:rFonts w:hint="eastAsia"/>
        </w:rPr>
        <w:t>CNY-CNH</w:t>
      </w:r>
      <w:r>
        <w:rPr>
          <w:rFonts w:hint="eastAsia"/>
        </w:rPr>
        <w:t>价差”）始终存在并且波动较大。而在岸与离岸人民币汇率价差的长期较大波动会引发大量的套利和投机交易。基于价差的套汇活动会严重影响中国资本账户开放和人民币国际化进程，一旦价差收窄甚至消失，人民币境外存款和跨境贸易额必定又会倒退、停滞</w:t>
      </w:r>
      <w:r w:rsidR="00E933B9">
        <w:rPr>
          <w:rFonts w:hint="eastAsia"/>
        </w:rPr>
        <w:t>（陈丽</w:t>
      </w:r>
      <w:r w:rsidR="005C7284">
        <w:rPr>
          <w:rFonts w:hint="eastAsia"/>
        </w:rPr>
        <w:t>等</w:t>
      </w:r>
      <w:r w:rsidR="00E933B9">
        <w:rPr>
          <w:rFonts w:hint="eastAsia"/>
        </w:rPr>
        <w:t>，</w:t>
      </w:r>
      <w:r w:rsidR="00E933B9">
        <w:rPr>
          <w:rFonts w:hint="eastAsia"/>
        </w:rPr>
        <w:t>2</w:t>
      </w:r>
      <w:r w:rsidR="00E933B9">
        <w:t>017</w:t>
      </w:r>
      <w:r w:rsidR="00E933B9">
        <w:rPr>
          <w:rFonts w:hint="eastAsia"/>
        </w:rPr>
        <w:t>）</w:t>
      </w:r>
      <w:r w:rsidR="00E933B9">
        <w:rPr>
          <w:rFonts w:hint="eastAsia"/>
          <w:vertAlign w:val="superscript"/>
        </w:rPr>
        <w:t>[</w:t>
      </w:r>
      <w:r w:rsidR="00E933B9">
        <w:rPr>
          <w:vertAlign w:val="superscript"/>
        </w:rPr>
        <w:t>1]</w:t>
      </w:r>
      <w:r w:rsidR="005C7284">
        <w:rPr>
          <w:rFonts w:hint="eastAsia"/>
        </w:rPr>
        <w:t>。</w:t>
      </w:r>
      <w:r>
        <w:rPr>
          <w:rFonts w:hint="eastAsia"/>
        </w:rPr>
        <w:t>因此关于价差长期波动影响的研究对打击投机活动、推动外汇市场的健康发展具有重要意义。在新时期新环境下人民币在岸离岸汇率价差的变动和影响因素可能会呈现新的特征。本文结合新时期经济政策不确定性、人民币国际化进程稳步推进、离岸人民币外汇市场不断发展等背景分别研究基本面变量、</w:t>
      </w:r>
      <w:r w:rsidR="00685BA9">
        <w:rPr>
          <w:rFonts w:hint="eastAsia"/>
        </w:rPr>
        <w:t>政治经济</w:t>
      </w:r>
      <w:r>
        <w:rPr>
          <w:rFonts w:hint="eastAsia"/>
        </w:rPr>
        <w:t>环境变量</w:t>
      </w:r>
      <w:r w:rsidR="00685BA9">
        <w:rPr>
          <w:rFonts w:hint="eastAsia"/>
        </w:rPr>
        <w:t>、投资者关注度</w:t>
      </w:r>
      <w:r>
        <w:rPr>
          <w:rFonts w:hint="eastAsia"/>
        </w:rPr>
        <w:t>和政策变量对在岸与离岸人民币汇率价差波动的影响。</w:t>
      </w:r>
    </w:p>
    <w:p w14:paraId="4E149C57" w14:textId="77777777" w:rsidR="002512D8" w:rsidRPr="001A286F" w:rsidRDefault="00424DD2" w:rsidP="001A286F">
      <w:pPr>
        <w:pStyle w:val="1"/>
      </w:pPr>
      <w:r w:rsidRPr="001A286F">
        <w:rPr>
          <w:rFonts w:hint="eastAsia"/>
        </w:rPr>
        <w:t>二、文献综述</w:t>
      </w:r>
    </w:p>
    <w:p w14:paraId="07BE84BC" w14:textId="7D7C67FF" w:rsidR="002512D8" w:rsidRDefault="00424DD2" w:rsidP="00527A57">
      <w:pPr>
        <w:ind w:firstLine="420"/>
      </w:pPr>
      <w:r>
        <w:rPr>
          <w:rFonts w:hint="eastAsia"/>
        </w:rPr>
        <w:t>从国外文献来看</w:t>
      </w:r>
      <w:proofErr w:type="spellStart"/>
      <w:r>
        <w:rPr>
          <w:rFonts w:hint="eastAsia"/>
        </w:rPr>
        <w:t>Zhi</w:t>
      </w:r>
      <w:proofErr w:type="spellEnd"/>
      <w:r>
        <w:rPr>
          <w:rFonts w:hint="eastAsia"/>
        </w:rPr>
        <w:t xml:space="preserve"> Da</w:t>
      </w:r>
      <w:r>
        <w:rPr>
          <w:rFonts w:hint="eastAsia"/>
        </w:rPr>
        <w:t>（</w:t>
      </w:r>
      <w:r>
        <w:rPr>
          <w:rFonts w:hint="eastAsia"/>
        </w:rPr>
        <w:t>2015</w:t>
      </w:r>
      <w:r>
        <w:rPr>
          <w:rFonts w:hint="eastAsia"/>
        </w:rPr>
        <w:t>）</w:t>
      </w:r>
      <w:r>
        <w:rPr>
          <w:rFonts w:hint="eastAsia"/>
          <w:vertAlign w:val="superscript"/>
        </w:rPr>
        <w:t>[</w:t>
      </w:r>
      <w:r w:rsidR="003B1578">
        <w:rPr>
          <w:vertAlign w:val="superscript"/>
        </w:rPr>
        <w:t>2</w:t>
      </w:r>
      <w:r>
        <w:rPr>
          <w:rFonts w:hint="eastAsia"/>
          <w:vertAlign w:val="superscript"/>
        </w:rPr>
        <w:t>]</w:t>
      </w:r>
      <w:r>
        <w:rPr>
          <w:rFonts w:hint="eastAsia"/>
        </w:rPr>
        <w:t>利用每天数百万家庭的互联网搜索量来揭示市场层面的情绪。通过汇总与家庭问题如衰退、失业和破产等相关的查询量，构建了一个解释金融和经济态度的搜索（恐惧）指数，作为衡量投资者情绪的新指标。</w:t>
      </w:r>
      <w:r>
        <w:rPr>
          <w:rFonts w:hint="eastAsia"/>
        </w:rPr>
        <w:t>Funke al.(2015)</w:t>
      </w:r>
      <w:r>
        <w:rPr>
          <w:rFonts w:hint="eastAsia"/>
          <w:vertAlign w:val="superscript"/>
        </w:rPr>
        <w:t>[</w:t>
      </w:r>
      <w:r w:rsidR="003B1578">
        <w:rPr>
          <w:vertAlign w:val="superscript"/>
        </w:rPr>
        <w:t>3</w:t>
      </w:r>
      <w:r>
        <w:rPr>
          <w:rFonts w:hint="eastAsia"/>
          <w:vertAlign w:val="superscript"/>
        </w:rPr>
        <w:t>]</w:t>
      </w:r>
      <w:r>
        <w:rPr>
          <w:rFonts w:hint="eastAsia"/>
        </w:rPr>
        <w:t>利用扩展的</w:t>
      </w:r>
      <w:r>
        <w:rPr>
          <w:rFonts w:hint="eastAsia"/>
        </w:rPr>
        <w:t>GARCH</w:t>
      </w:r>
      <w:r>
        <w:rPr>
          <w:rFonts w:hint="eastAsia"/>
        </w:rPr>
        <w:t>模型研究了基本面因素、全球因素和与人民币国际化相关的政策因素对驱动</w:t>
      </w:r>
      <w:r>
        <w:rPr>
          <w:rFonts w:hint="eastAsia"/>
        </w:rPr>
        <w:t>CNY</w:t>
      </w:r>
      <w:r>
        <w:rPr>
          <w:rFonts w:hint="eastAsia"/>
        </w:rPr>
        <w:t>和</w:t>
      </w:r>
      <w:r>
        <w:rPr>
          <w:rFonts w:hint="eastAsia"/>
        </w:rPr>
        <w:t>CNH</w:t>
      </w:r>
      <w:r>
        <w:rPr>
          <w:rFonts w:hint="eastAsia"/>
        </w:rPr>
        <w:t>价格差异的影响，发现离岸人民币市场和在岸人民币市场的流动性差异在解释</w:t>
      </w:r>
      <w:r>
        <w:rPr>
          <w:rFonts w:hint="eastAsia"/>
        </w:rPr>
        <w:t>CNY</w:t>
      </w:r>
      <w:r>
        <w:rPr>
          <w:rFonts w:hint="eastAsia"/>
        </w:rPr>
        <w:t>和</w:t>
      </w:r>
      <w:r>
        <w:rPr>
          <w:rFonts w:hint="eastAsia"/>
        </w:rPr>
        <w:t>CNH</w:t>
      </w:r>
      <w:r>
        <w:rPr>
          <w:rFonts w:hint="eastAsia"/>
        </w:rPr>
        <w:t>价差方面具有重要作用；而在政策方面，允许人民币跨境流出的措施在降低离岸人民币和在岸人民币价格差异的波动方面具有显著的影响。</w:t>
      </w:r>
      <w:r>
        <w:rPr>
          <w:rFonts w:hint="eastAsia"/>
        </w:rPr>
        <w:t>Han(2018)</w:t>
      </w:r>
      <w:r>
        <w:rPr>
          <w:rFonts w:hint="eastAsia"/>
          <w:vertAlign w:val="superscript"/>
        </w:rPr>
        <w:t>[</w:t>
      </w:r>
      <w:r w:rsidR="003B1578">
        <w:rPr>
          <w:vertAlign w:val="superscript"/>
        </w:rPr>
        <w:t>4</w:t>
      </w:r>
      <w:r>
        <w:rPr>
          <w:rFonts w:hint="eastAsia"/>
          <w:vertAlign w:val="superscript"/>
        </w:rPr>
        <w:t>]</w:t>
      </w:r>
      <w:r>
        <w:rPr>
          <w:rFonts w:hint="eastAsia"/>
        </w:rPr>
        <w:t>研究了投资者关注度对</w:t>
      </w:r>
      <w:r>
        <w:rPr>
          <w:rFonts w:hint="eastAsia"/>
        </w:rPr>
        <w:t>CNY</w:t>
      </w:r>
      <w:r>
        <w:rPr>
          <w:rFonts w:hint="eastAsia"/>
        </w:rPr>
        <w:t>与</w:t>
      </w:r>
      <w:r>
        <w:rPr>
          <w:rFonts w:hint="eastAsia"/>
        </w:rPr>
        <w:t>CNH</w:t>
      </w:r>
      <w:r>
        <w:rPr>
          <w:rFonts w:hint="eastAsia"/>
        </w:rPr>
        <w:t>价差的预测能力，发现投资者关注度可以预测</w:t>
      </w:r>
      <w:r>
        <w:rPr>
          <w:rFonts w:hint="eastAsia"/>
        </w:rPr>
        <w:t>CNY</w:t>
      </w:r>
      <w:r>
        <w:rPr>
          <w:rFonts w:hint="eastAsia"/>
        </w:rPr>
        <w:t>和</w:t>
      </w:r>
      <w:r>
        <w:rPr>
          <w:rFonts w:hint="eastAsia"/>
        </w:rPr>
        <w:t>CNH</w:t>
      </w:r>
      <w:r>
        <w:rPr>
          <w:rFonts w:hint="eastAsia"/>
        </w:rPr>
        <w:t>定价差距并且提供了比宏观变量更有用的信息来预测</w:t>
      </w:r>
      <w:r>
        <w:rPr>
          <w:rFonts w:hint="eastAsia"/>
        </w:rPr>
        <w:t>CNY</w:t>
      </w:r>
      <w:r>
        <w:rPr>
          <w:rFonts w:hint="eastAsia"/>
        </w:rPr>
        <w:t>和</w:t>
      </w:r>
      <w:r>
        <w:rPr>
          <w:rFonts w:hint="eastAsia"/>
        </w:rPr>
        <w:t>CNH</w:t>
      </w:r>
      <w:r>
        <w:rPr>
          <w:rFonts w:hint="eastAsia"/>
        </w:rPr>
        <w:t>价差波峰或波谷的典型上升或下降行为。</w:t>
      </w:r>
      <w:r>
        <w:rPr>
          <w:rFonts w:hint="eastAsia"/>
        </w:rPr>
        <w:t>Liang(2019)</w:t>
      </w:r>
      <w:r>
        <w:rPr>
          <w:rFonts w:hint="eastAsia"/>
          <w:vertAlign w:val="superscript"/>
        </w:rPr>
        <w:t>[</w:t>
      </w:r>
      <w:r w:rsidR="003B1578">
        <w:rPr>
          <w:vertAlign w:val="superscript"/>
        </w:rPr>
        <w:t>5</w:t>
      </w:r>
      <w:r>
        <w:rPr>
          <w:rFonts w:hint="eastAsia"/>
          <w:vertAlign w:val="superscript"/>
        </w:rPr>
        <w:t>]</w:t>
      </w:r>
      <w:r>
        <w:rPr>
          <w:rFonts w:hint="eastAsia"/>
        </w:rPr>
        <w:t>利用</w:t>
      </w:r>
      <w:r>
        <w:rPr>
          <w:rFonts w:hint="eastAsia"/>
        </w:rPr>
        <w:t>GARCH</w:t>
      </w:r>
      <w:r>
        <w:rPr>
          <w:rFonts w:hint="eastAsia"/>
        </w:rPr>
        <w:t>模型估计了人民币国际化背景下近期人民币市场改革的效果，发现近期的人民币汇率市场改革都加大了</w:t>
      </w:r>
      <w:r>
        <w:rPr>
          <w:rFonts w:hint="eastAsia"/>
        </w:rPr>
        <w:t>CNY</w:t>
      </w:r>
      <w:r>
        <w:rPr>
          <w:rFonts w:hint="eastAsia"/>
        </w:rPr>
        <w:t>与</w:t>
      </w:r>
      <w:r>
        <w:rPr>
          <w:rFonts w:hint="eastAsia"/>
        </w:rPr>
        <w:t>CNH</w:t>
      </w:r>
      <w:r>
        <w:rPr>
          <w:rFonts w:hint="eastAsia"/>
        </w:rPr>
        <w:t>价差的波动性，但事实表明这些改革政策要么扩大价差，要么缩小价差。</w:t>
      </w:r>
      <w:r>
        <w:rPr>
          <w:rFonts w:hint="eastAsia"/>
        </w:rPr>
        <w:t>Li(2020)</w:t>
      </w:r>
      <w:r>
        <w:rPr>
          <w:rFonts w:hint="eastAsia"/>
          <w:vertAlign w:val="superscript"/>
        </w:rPr>
        <w:t>[</w:t>
      </w:r>
      <w:r w:rsidR="003B1578">
        <w:rPr>
          <w:vertAlign w:val="superscript"/>
        </w:rPr>
        <w:t>6</w:t>
      </w:r>
      <w:r>
        <w:rPr>
          <w:rFonts w:hint="eastAsia"/>
          <w:vertAlign w:val="superscript"/>
        </w:rPr>
        <w:t>]</w:t>
      </w:r>
      <w:r>
        <w:rPr>
          <w:rFonts w:hint="eastAsia"/>
        </w:rPr>
        <w:t>以中国和</w:t>
      </w:r>
      <w:r>
        <w:rPr>
          <w:rFonts w:hint="eastAsia"/>
        </w:rPr>
        <w:t>G7</w:t>
      </w:r>
      <w:r>
        <w:rPr>
          <w:rFonts w:hint="eastAsia"/>
        </w:rPr>
        <w:t>国家的</w:t>
      </w:r>
      <w:r>
        <w:rPr>
          <w:rFonts w:hint="eastAsia"/>
        </w:rPr>
        <w:t>EPU</w:t>
      </w:r>
      <w:r>
        <w:rPr>
          <w:rFonts w:hint="eastAsia"/>
        </w:rPr>
        <w:t>指数为基础，采用主成分分析法构建了一个新的</w:t>
      </w:r>
      <w:r>
        <w:rPr>
          <w:rFonts w:hint="eastAsia"/>
        </w:rPr>
        <w:t>EPU</w:t>
      </w:r>
      <w:r>
        <w:rPr>
          <w:rFonts w:hint="eastAsia"/>
        </w:rPr>
        <w:t>指数，利用非线性</w:t>
      </w:r>
      <w:r>
        <w:rPr>
          <w:rFonts w:hint="eastAsia"/>
        </w:rPr>
        <w:t>ARDL</w:t>
      </w:r>
      <w:r>
        <w:rPr>
          <w:rFonts w:hint="eastAsia"/>
        </w:rPr>
        <w:t>模型探讨了经济政策不确定性（</w:t>
      </w:r>
      <w:r>
        <w:rPr>
          <w:rFonts w:hint="eastAsia"/>
        </w:rPr>
        <w:t>EPU</w:t>
      </w:r>
      <w:r>
        <w:rPr>
          <w:rFonts w:hint="eastAsia"/>
        </w:rPr>
        <w:t>）及其他可能的决定因素对</w:t>
      </w:r>
      <w:r>
        <w:rPr>
          <w:rFonts w:hint="eastAsia"/>
        </w:rPr>
        <w:t>CNY</w:t>
      </w:r>
      <w:r>
        <w:rPr>
          <w:rFonts w:hint="eastAsia"/>
        </w:rPr>
        <w:t>与</w:t>
      </w:r>
      <w:r>
        <w:rPr>
          <w:rFonts w:hint="eastAsia"/>
        </w:rPr>
        <w:t>CNN</w:t>
      </w:r>
      <w:r>
        <w:rPr>
          <w:rFonts w:hint="eastAsia"/>
        </w:rPr>
        <w:t>价差的不对称影响。结果表明，相关决定因素对</w:t>
      </w:r>
      <w:r>
        <w:rPr>
          <w:rFonts w:hint="eastAsia"/>
        </w:rPr>
        <w:t>CNY</w:t>
      </w:r>
      <w:r>
        <w:rPr>
          <w:rFonts w:hint="eastAsia"/>
        </w:rPr>
        <w:t>与</w:t>
      </w:r>
      <w:r>
        <w:rPr>
          <w:rFonts w:hint="eastAsia"/>
        </w:rPr>
        <w:t>CNH</w:t>
      </w:r>
      <w:r>
        <w:rPr>
          <w:rFonts w:hint="eastAsia"/>
        </w:rPr>
        <w:t>价差具有显著的不对称效应，新的</w:t>
      </w:r>
      <w:r>
        <w:rPr>
          <w:rFonts w:hint="eastAsia"/>
        </w:rPr>
        <w:t>EPU</w:t>
      </w:r>
      <w:r>
        <w:rPr>
          <w:rFonts w:hint="eastAsia"/>
        </w:rPr>
        <w:t>指数显著影响</w:t>
      </w:r>
      <w:r>
        <w:rPr>
          <w:rFonts w:hint="eastAsia"/>
        </w:rPr>
        <w:t>CNY</w:t>
      </w:r>
      <w:r>
        <w:rPr>
          <w:rFonts w:hint="eastAsia"/>
        </w:rPr>
        <w:t>和</w:t>
      </w:r>
      <w:r>
        <w:rPr>
          <w:rFonts w:hint="eastAsia"/>
        </w:rPr>
        <w:t>CNH</w:t>
      </w:r>
      <w:r>
        <w:rPr>
          <w:rFonts w:hint="eastAsia"/>
        </w:rPr>
        <w:t>价</w:t>
      </w:r>
      <w:r>
        <w:rPr>
          <w:rFonts w:hint="eastAsia"/>
        </w:rPr>
        <w:lastRenderedPageBreak/>
        <w:t>差，对新</w:t>
      </w:r>
      <w:r>
        <w:rPr>
          <w:rFonts w:hint="eastAsia"/>
        </w:rPr>
        <w:t>EPU</w:t>
      </w:r>
      <w:r>
        <w:rPr>
          <w:rFonts w:hint="eastAsia"/>
        </w:rPr>
        <w:t>指数的正向冲击会导致</w:t>
      </w:r>
      <w:r>
        <w:rPr>
          <w:rFonts w:hint="eastAsia"/>
        </w:rPr>
        <w:t>CNY</w:t>
      </w:r>
      <w:r>
        <w:rPr>
          <w:rFonts w:hint="eastAsia"/>
        </w:rPr>
        <w:t>与</w:t>
      </w:r>
      <w:r>
        <w:rPr>
          <w:rFonts w:hint="eastAsia"/>
        </w:rPr>
        <w:t>CNH</w:t>
      </w:r>
      <w:r>
        <w:rPr>
          <w:rFonts w:hint="eastAsia"/>
        </w:rPr>
        <w:t>价差拉大。</w:t>
      </w:r>
      <w:r>
        <w:rPr>
          <w:rFonts w:hint="eastAsia"/>
        </w:rPr>
        <w:t>Sun</w:t>
      </w:r>
      <w:r>
        <w:rPr>
          <w:rFonts w:hint="eastAsia"/>
        </w:rPr>
        <w:t>（</w:t>
      </w:r>
      <w:r>
        <w:rPr>
          <w:rFonts w:hint="eastAsia"/>
        </w:rPr>
        <w:t>2020</w:t>
      </w:r>
      <w:r>
        <w:rPr>
          <w:rFonts w:hint="eastAsia"/>
        </w:rPr>
        <w:t>）</w:t>
      </w:r>
      <w:r>
        <w:rPr>
          <w:rFonts w:hint="eastAsia"/>
          <w:vertAlign w:val="superscript"/>
        </w:rPr>
        <w:t>[</w:t>
      </w:r>
      <w:r w:rsidR="003B1578">
        <w:rPr>
          <w:vertAlign w:val="superscript"/>
        </w:rPr>
        <w:t>7</w:t>
      </w:r>
      <w:r>
        <w:rPr>
          <w:rFonts w:hint="eastAsia"/>
          <w:vertAlign w:val="superscript"/>
        </w:rPr>
        <w:t>]</w:t>
      </w:r>
      <w:r>
        <w:rPr>
          <w:rFonts w:hint="eastAsia"/>
        </w:rPr>
        <w:t>利用</w:t>
      </w:r>
      <w:r>
        <w:rPr>
          <w:rFonts w:hint="eastAsia"/>
        </w:rPr>
        <w:t>2010</w:t>
      </w:r>
      <w:r>
        <w:rPr>
          <w:rFonts w:hint="eastAsia"/>
        </w:rPr>
        <w:t>年至</w:t>
      </w:r>
      <w:r>
        <w:rPr>
          <w:rFonts w:hint="eastAsia"/>
        </w:rPr>
        <w:t>2016</w:t>
      </w:r>
      <w:r>
        <w:rPr>
          <w:rFonts w:hint="eastAsia"/>
        </w:rPr>
        <w:t>年的每日数据运用时间序列（</w:t>
      </w:r>
      <w:r>
        <w:rPr>
          <w:rFonts w:hint="eastAsia"/>
        </w:rPr>
        <w:t>ITS</w:t>
      </w:r>
      <w:r>
        <w:rPr>
          <w:rFonts w:hint="eastAsia"/>
        </w:rPr>
        <w:t>）模型，研究了基本面决定因素、市场流动性、全球风险偏好和政策对</w:t>
      </w:r>
      <w:r>
        <w:rPr>
          <w:rFonts w:hint="eastAsia"/>
        </w:rPr>
        <w:t>CNY</w:t>
      </w:r>
      <w:r>
        <w:rPr>
          <w:rFonts w:hint="eastAsia"/>
        </w:rPr>
        <w:t>与</w:t>
      </w:r>
      <w:r>
        <w:rPr>
          <w:rFonts w:hint="eastAsia"/>
        </w:rPr>
        <w:t>CNH</w:t>
      </w:r>
      <w:r>
        <w:rPr>
          <w:rFonts w:hint="eastAsia"/>
        </w:rPr>
        <w:t>价差的影响。发现基本面决定因素、市场流动性和政策对</w:t>
      </w:r>
      <w:r>
        <w:rPr>
          <w:rFonts w:hint="eastAsia"/>
        </w:rPr>
        <w:t>CNY</w:t>
      </w:r>
      <w:r>
        <w:rPr>
          <w:rFonts w:hint="eastAsia"/>
        </w:rPr>
        <w:t>与</w:t>
      </w:r>
      <w:r>
        <w:rPr>
          <w:rFonts w:hint="eastAsia"/>
        </w:rPr>
        <w:t>CNH</w:t>
      </w:r>
      <w:r>
        <w:rPr>
          <w:rFonts w:hint="eastAsia"/>
        </w:rPr>
        <w:t>价差有显著影响，而中美利差和全球风险偏好对在岸和离岸市场的人民币价格没有显著影响，最后研究结果表明“</w:t>
      </w:r>
      <w:r>
        <w:rPr>
          <w:rFonts w:hint="eastAsia"/>
        </w:rPr>
        <w:t>8.11</w:t>
      </w:r>
      <w:r>
        <w:rPr>
          <w:rFonts w:hint="eastAsia"/>
        </w:rPr>
        <w:t>”汇改并没有改变人民币市场的基本面价格动态，而是显著改变了经济基本面对人民币汇率价格机制的影响。</w:t>
      </w:r>
    </w:p>
    <w:p w14:paraId="32F6CC95" w14:textId="4298D3ED" w:rsidR="002512D8" w:rsidRDefault="00424DD2" w:rsidP="00527A57">
      <w:pPr>
        <w:ind w:firstLine="420"/>
      </w:pPr>
      <w:r>
        <w:rPr>
          <w:rFonts w:hint="eastAsia"/>
        </w:rPr>
        <w:t>从国内文献来看尹力博（</w:t>
      </w:r>
      <w:r>
        <w:rPr>
          <w:rFonts w:hint="eastAsia"/>
        </w:rPr>
        <w:t>2017</w:t>
      </w:r>
      <w:r>
        <w:rPr>
          <w:rFonts w:hint="eastAsia"/>
        </w:rPr>
        <w:t>）</w:t>
      </w:r>
      <w:r>
        <w:rPr>
          <w:rFonts w:hint="eastAsia"/>
          <w:vertAlign w:val="superscript"/>
        </w:rPr>
        <w:t>[</w:t>
      </w:r>
      <w:r w:rsidR="003B1578">
        <w:rPr>
          <w:vertAlign w:val="superscript"/>
        </w:rPr>
        <w:t>8</w:t>
      </w:r>
      <w:r>
        <w:rPr>
          <w:rFonts w:hint="eastAsia"/>
          <w:vertAlign w:val="superscript"/>
        </w:rPr>
        <w:t>]</w:t>
      </w:r>
      <w:r>
        <w:rPr>
          <w:rFonts w:hint="eastAsia"/>
        </w:rPr>
        <w:t>利用最小二乘回归实证检验投资者关注度对人民币在岸和离岸汇率价差波动率的影响，并利用基于已实现波动率的</w:t>
      </w:r>
      <w:r>
        <w:rPr>
          <w:rFonts w:hint="eastAsia"/>
        </w:rPr>
        <w:t>GARCH-MIDAS</w:t>
      </w:r>
      <w:r>
        <w:rPr>
          <w:rFonts w:hint="eastAsia"/>
        </w:rPr>
        <w:t>模型将波动率分解为长期成分和短期成分，并分别进行回归，考虑了价差波动的结构性特征。研究结果表明投资者关注度能够显著增大人民币汇率价差波动，货币当局可适当引导进而达到收窄价差、抑制套利的目的。与波动长期成分相比，投资者关注度对波动短期成分的作用更强。严冰（</w:t>
      </w:r>
      <w:r>
        <w:rPr>
          <w:rFonts w:hint="eastAsia"/>
        </w:rPr>
        <w:t>2017</w:t>
      </w:r>
      <w:r>
        <w:rPr>
          <w:rFonts w:hint="eastAsia"/>
        </w:rPr>
        <w:t>）</w:t>
      </w:r>
      <w:r>
        <w:rPr>
          <w:rFonts w:hint="eastAsia"/>
          <w:vertAlign w:val="superscript"/>
        </w:rPr>
        <w:t>[</w:t>
      </w:r>
      <w:r w:rsidR="003B1578">
        <w:rPr>
          <w:vertAlign w:val="superscript"/>
        </w:rPr>
        <w:t>9</w:t>
      </w:r>
      <w:r>
        <w:rPr>
          <w:rFonts w:hint="eastAsia"/>
          <w:vertAlign w:val="superscript"/>
        </w:rPr>
        <w:t>]</w:t>
      </w:r>
      <w:r>
        <w:rPr>
          <w:rFonts w:hint="eastAsia"/>
        </w:rPr>
        <w:t>利用基本的</w:t>
      </w:r>
      <w:r>
        <w:rPr>
          <w:rFonts w:hint="eastAsia"/>
        </w:rPr>
        <w:t>GARCH</w:t>
      </w:r>
      <w:r>
        <w:rPr>
          <w:rFonts w:hint="eastAsia"/>
        </w:rPr>
        <w:t>模型和扩展的</w:t>
      </w:r>
      <w:r>
        <w:rPr>
          <w:rFonts w:hint="eastAsia"/>
        </w:rPr>
        <w:t>GARCH</w:t>
      </w:r>
      <w:r>
        <w:rPr>
          <w:rFonts w:hint="eastAsia"/>
        </w:rPr>
        <w:t>模型，探讨了基本面因素、全球金融因素和相关政策因素对</w:t>
      </w:r>
      <w:r>
        <w:rPr>
          <w:rFonts w:hint="eastAsia"/>
        </w:rPr>
        <w:t>CNY-CNH</w:t>
      </w:r>
      <w:r>
        <w:rPr>
          <w:rFonts w:hint="eastAsia"/>
        </w:rPr>
        <w:t>定价差异及其波动的影响。实证结果表明在岸和离岸流动性差异、投资者预期、全球风险厌恶情绪和美元升值会对</w:t>
      </w:r>
      <w:r>
        <w:rPr>
          <w:rFonts w:hint="eastAsia"/>
        </w:rPr>
        <w:t>CNY-CNH</w:t>
      </w:r>
      <w:r>
        <w:rPr>
          <w:rFonts w:hint="eastAsia"/>
        </w:rPr>
        <w:t>的价差产生显著影响。在政策方面，允许人民币资本跨境流出的措施会降低</w:t>
      </w:r>
      <w:r>
        <w:rPr>
          <w:rFonts w:hint="eastAsia"/>
        </w:rPr>
        <w:t>CNY-CNH</w:t>
      </w:r>
      <w:r>
        <w:rPr>
          <w:rFonts w:hint="eastAsia"/>
        </w:rPr>
        <w:t>的价差。而在岸市场人民币兑美元中间价形成机制改革显著增大了</w:t>
      </w:r>
      <w:r>
        <w:rPr>
          <w:rFonts w:hint="eastAsia"/>
        </w:rPr>
        <w:t>CNY-CNH</w:t>
      </w:r>
      <w:r>
        <w:rPr>
          <w:rFonts w:hint="eastAsia"/>
        </w:rPr>
        <w:t>的价差，并加剧了价差波动。吴丽华（</w:t>
      </w:r>
      <w:r>
        <w:rPr>
          <w:rFonts w:hint="eastAsia"/>
        </w:rPr>
        <w:t>2018</w:t>
      </w:r>
      <w:r>
        <w:rPr>
          <w:rFonts w:hint="eastAsia"/>
        </w:rPr>
        <w:t>）</w:t>
      </w:r>
      <w:r>
        <w:rPr>
          <w:rFonts w:hint="eastAsia"/>
          <w:vertAlign w:val="superscript"/>
        </w:rPr>
        <w:t>[</w:t>
      </w:r>
      <w:r w:rsidR="003B1578">
        <w:rPr>
          <w:vertAlign w:val="superscript"/>
        </w:rPr>
        <w:t>10</w:t>
      </w:r>
      <w:r>
        <w:rPr>
          <w:rFonts w:hint="eastAsia"/>
          <w:vertAlign w:val="superscript"/>
        </w:rPr>
        <w:t>]</w:t>
      </w:r>
      <w:r>
        <w:rPr>
          <w:rFonts w:hint="eastAsia"/>
        </w:rPr>
        <w:t>结合理论分析和实证研究，探讨了人民币在岸与离岸汇率价差的波动特征，并运用</w:t>
      </w:r>
      <w:r>
        <w:rPr>
          <w:rFonts w:hint="eastAsia"/>
        </w:rPr>
        <w:t>VAR</w:t>
      </w:r>
      <w:r>
        <w:rPr>
          <w:rFonts w:hint="eastAsia"/>
        </w:rPr>
        <w:t>模型对汇率价差的影响因素和传导路径进行了实证研究，结果表明离岸人民币资金存量、全球投资者偏好对汇率价差具有显著的负向影响，在岸与离岸利率价差对汇率价差具有显著的正向影响。席钰（</w:t>
      </w:r>
      <w:r>
        <w:rPr>
          <w:rFonts w:hint="eastAsia"/>
        </w:rPr>
        <w:t>2019</w:t>
      </w:r>
      <w:r>
        <w:rPr>
          <w:rFonts w:hint="eastAsia"/>
        </w:rPr>
        <w:t>）</w:t>
      </w:r>
      <w:r>
        <w:rPr>
          <w:rFonts w:hint="eastAsia"/>
          <w:vertAlign w:val="superscript"/>
        </w:rPr>
        <w:t>[1</w:t>
      </w:r>
      <w:r w:rsidR="00227D50">
        <w:rPr>
          <w:vertAlign w:val="superscript"/>
        </w:rPr>
        <w:t>1</w:t>
      </w:r>
      <w:r>
        <w:rPr>
          <w:rFonts w:hint="eastAsia"/>
          <w:vertAlign w:val="superscript"/>
        </w:rPr>
        <w:t>]</w:t>
      </w:r>
      <w:r>
        <w:rPr>
          <w:rFonts w:hint="eastAsia"/>
        </w:rPr>
        <w:t>通过研究得出人民币在岸和离岸汇率在价差收敛过程中，央行干预发挥了重要作用，央行对价差的干预效果取决于汇率预期类型及其导致的资本流动特征。不同时期境内外人民币市场参与主体的预期类型不同，央行应该因地制宜决定是否对价差过大实施干预。</w:t>
      </w:r>
    </w:p>
    <w:p w14:paraId="41133104" w14:textId="77777777" w:rsidR="002512D8" w:rsidRDefault="00424DD2" w:rsidP="00527A57">
      <w:pPr>
        <w:ind w:firstLine="420"/>
      </w:pPr>
      <w:r>
        <w:rPr>
          <w:rFonts w:hint="eastAsia"/>
        </w:rPr>
        <w:t>通过文献梳理我们发现，虽然对于人民币在岸离岸汇率价差波动的影响因素研究已经取得了许多成果，但是对于其影响因素的探究还存在改进空间，有待进一步深入。因此本文的贡献主要为：第一，对人民币汇率价差的影响因素研究进行了拓展，主要选取：中美利差、人民币升贬值预期（</w:t>
      </w:r>
      <w:r>
        <w:rPr>
          <w:rFonts w:hint="eastAsia"/>
        </w:rPr>
        <w:t>NDF</w:t>
      </w:r>
      <w:r>
        <w:rPr>
          <w:rFonts w:hint="eastAsia"/>
        </w:rPr>
        <w:t>）、经济政策不确定性（</w:t>
      </w:r>
      <w:r>
        <w:rPr>
          <w:rFonts w:hint="eastAsia"/>
        </w:rPr>
        <w:t>EPU</w:t>
      </w:r>
      <w:r>
        <w:rPr>
          <w:rFonts w:hint="eastAsia"/>
        </w:rPr>
        <w:t>）、地缘政治风险（</w:t>
      </w:r>
      <w:r>
        <w:rPr>
          <w:rFonts w:hint="eastAsia"/>
        </w:rPr>
        <w:t>GPR</w:t>
      </w:r>
      <w:r>
        <w:rPr>
          <w:rFonts w:hint="eastAsia"/>
        </w:rPr>
        <w:t>）、国内投资者关注度、国际投资者关注度、人民币兑美元汇率中间价机制改革和人民币国际化进程，其中国内投资者关注度以</w:t>
      </w:r>
      <w:r>
        <w:rPr>
          <w:rFonts w:hint="eastAsia"/>
        </w:rPr>
        <w:t>CNH</w:t>
      </w:r>
      <w:r>
        <w:rPr>
          <w:rFonts w:hint="eastAsia"/>
        </w:rPr>
        <w:t>作为关键词搜索其对应的百度指数，国际投资者关注度以</w:t>
      </w:r>
      <w:r>
        <w:rPr>
          <w:rFonts w:hint="eastAsia"/>
        </w:rPr>
        <w:lastRenderedPageBreak/>
        <w:t>CNH</w:t>
      </w:r>
      <w:r>
        <w:rPr>
          <w:rFonts w:hint="eastAsia"/>
        </w:rPr>
        <w:t>作为关键词搜索其对应的谷歌趋势。第二，以</w:t>
      </w:r>
      <w:r>
        <w:rPr>
          <w:rFonts w:hint="eastAsia"/>
        </w:rPr>
        <w:t>CNY-CNH</w:t>
      </w:r>
      <w:r>
        <w:rPr>
          <w:rFonts w:hint="eastAsia"/>
        </w:rPr>
        <w:t>汇差为研究对象，利用</w:t>
      </w:r>
      <w:r>
        <w:rPr>
          <w:rFonts w:hint="eastAsia"/>
        </w:rPr>
        <w:t>GARCH-MIDAS</w:t>
      </w:r>
      <w:r>
        <w:rPr>
          <w:rFonts w:hint="eastAsia"/>
        </w:rPr>
        <w:t>模型，分析影响因素对</w:t>
      </w:r>
      <w:r>
        <w:rPr>
          <w:rFonts w:hint="eastAsia"/>
        </w:rPr>
        <w:t>CNY-CNH</w:t>
      </w:r>
      <w:r>
        <w:rPr>
          <w:rFonts w:hint="eastAsia"/>
        </w:rPr>
        <w:t>汇差短期波动和长期波动的影响。</w:t>
      </w:r>
    </w:p>
    <w:p w14:paraId="184C4BD5" w14:textId="77777777" w:rsidR="002512D8" w:rsidRPr="001A286F" w:rsidRDefault="00424DD2" w:rsidP="001A286F">
      <w:pPr>
        <w:pStyle w:val="1"/>
      </w:pPr>
      <w:r w:rsidRPr="001A286F">
        <w:rPr>
          <w:rFonts w:hint="eastAsia"/>
        </w:rPr>
        <w:t>三、在岸与离岸人民币汇率价差波动影响因素分析</w:t>
      </w:r>
    </w:p>
    <w:p w14:paraId="4205FB00" w14:textId="5E8D3F65" w:rsidR="002512D8" w:rsidRPr="00527A57" w:rsidRDefault="00AD3EF6" w:rsidP="00527A57">
      <w:pPr>
        <w:pStyle w:val="2"/>
      </w:pPr>
      <w:r>
        <w:rPr>
          <w:rFonts w:hint="eastAsia"/>
        </w:rPr>
        <w:t>（一）</w:t>
      </w:r>
      <w:r w:rsidR="00424DD2" w:rsidRPr="00527A57">
        <w:rPr>
          <w:rFonts w:hint="eastAsia"/>
        </w:rPr>
        <w:t>变量选择</w:t>
      </w:r>
    </w:p>
    <w:p w14:paraId="7A7B19EB" w14:textId="009D9EB2" w:rsidR="002512D8" w:rsidRDefault="00424DD2">
      <w:pPr>
        <w:ind w:firstLine="420"/>
        <w:textAlignment w:val="center"/>
        <w:rPr>
          <w:bCs/>
        </w:rPr>
      </w:pPr>
      <w:r>
        <w:rPr>
          <w:rFonts w:hint="eastAsia"/>
          <w:bCs/>
        </w:rPr>
        <w:t>本研究被解释变量</w:t>
      </w:r>
      <w:r>
        <w:rPr>
          <w:rFonts w:hint="eastAsia"/>
          <w:bCs/>
        </w:rPr>
        <w:t>CNY-CNH</w:t>
      </w:r>
      <w:r>
        <w:rPr>
          <w:rFonts w:hint="eastAsia"/>
          <w:bCs/>
        </w:rPr>
        <w:t>价差选取日度数据，解释变量基本面变量、</w:t>
      </w:r>
      <w:r w:rsidR="00405C52">
        <w:rPr>
          <w:rFonts w:hint="eastAsia"/>
          <w:bCs/>
        </w:rPr>
        <w:t>政治经济</w:t>
      </w:r>
      <w:r>
        <w:rPr>
          <w:rFonts w:hint="eastAsia"/>
          <w:bCs/>
        </w:rPr>
        <w:t>环境变量</w:t>
      </w:r>
      <w:r w:rsidR="00405C52">
        <w:rPr>
          <w:rFonts w:hint="eastAsia"/>
          <w:bCs/>
        </w:rPr>
        <w:t>、投资者关注度</w:t>
      </w:r>
      <w:r>
        <w:rPr>
          <w:rFonts w:hint="eastAsia"/>
          <w:bCs/>
        </w:rPr>
        <w:t>和政策变量选取月度数据，其中政策变量使用虚拟变量，研究区间为</w:t>
      </w:r>
      <w:r>
        <w:rPr>
          <w:rFonts w:hint="eastAsia"/>
          <w:bCs/>
          <w:color w:val="000000" w:themeColor="text1"/>
        </w:rPr>
        <w:t>2012</w:t>
      </w:r>
      <w:r>
        <w:rPr>
          <w:rFonts w:hint="eastAsia"/>
          <w:bCs/>
          <w:color w:val="000000" w:themeColor="text1"/>
        </w:rPr>
        <w:t>年</w:t>
      </w:r>
      <w:r>
        <w:rPr>
          <w:rFonts w:hint="eastAsia"/>
          <w:bCs/>
          <w:color w:val="000000" w:themeColor="text1"/>
        </w:rPr>
        <w:t>5</w:t>
      </w:r>
      <w:r>
        <w:rPr>
          <w:rFonts w:hint="eastAsia"/>
          <w:bCs/>
          <w:color w:val="000000" w:themeColor="text1"/>
        </w:rPr>
        <w:t>月</w:t>
      </w:r>
      <w:r>
        <w:rPr>
          <w:rFonts w:hint="eastAsia"/>
          <w:bCs/>
          <w:color w:val="000000" w:themeColor="text1"/>
        </w:rPr>
        <w:t>1</w:t>
      </w:r>
      <w:r>
        <w:rPr>
          <w:rFonts w:hint="eastAsia"/>
          <w:bCs/>
          <w:color w:val="000000" w:themeColor="text1"/>
        </w:rPr>
        <w:t>日至</w:t>
      </w:r>
      <w:r>
        <w:rPr>
          <w:rFonts w:hint="eastAsia"/>
          <w:bCs/>
          <w:color w:val="000000" w:themeColor="text1"/>
        </w:rPr>
        <w:t>2021</w:t>
      </w:r>
      <w:r>
        <w:rPr>
          <w:rFonts w:hint="eastAsia"/>
          <w:bCs/>
          <w:color w:val="000000" w:themeColor="text1"/>
        </w:rPr>
        <w:t>年</w:t>
      </w:r>
      <w:r>
        <w:rPr>
          <w:rFonts w:hint="eastAsia"/>
          <w:bCs/>
          <w:color w:val="000000" w:themeColor="text1"/>
        </w:rPr>
        <w:t>6</w:t>
      </w:r>
      <w:r>
        <w:rPr>
          <w:rFonts w:hint="eastAsia"/>
          <w:bCs/>
          <w:color w:val="000000" w:themeColor="text1"/>
        </w:rPr>
        <w:t>月</w:t>
      </w:r>
      <w:r>
        <w:rPr>
          <w:rFonts w:hint="eastAsia"/>
          <w:bCs/>
          <w:color w:val="000000" w:themeColor="text1"/>
        </w:rPr>
        <w:t>30</w:t>
      </w:r>
      <w:r>
        <w:rPr>
          <w:rFonts w:hint="eastAsia"/>
          <w:bCs/>
          <w:color w:val="000000" w:themeColor="text1"/>
        </w:rPr>
        <w:t>日。</w:t>
      </w:r>
      <w:r>
        <w:rPr>
          <w:rFonts w:hint="eastAsia"/>
          <w:bCs/>
        </w:rPr>
        <w:t>本文数据来自</w:t>
      </w:r>
      <w:r>
        <w:rPr>
          <w:rFonts w:hint="eastAsia"/>
          <w:bCs/>
        </w:rPr>
        <w:t>Wind</w:t>
      </w:r>
      <w:r>
        <w:rPr>
          <w:rFonts w:hint="eastAsia"/>
          <w:bCs/>
        </w:rPr>
        <w:t>、经济政策不确定性指数网站、地缘政治风险指数网站、百度指数、谷歌趋势和中国人民银行。</w:t>
      </w:r>
    </w:p>
    <w:p w14:paraId="5F9E544A" w14:textId="0C3CC67F" w:rsidR="002512D8" w:rsidRPr="00527A57" w:rsidRDefault="00AD3EF6" w:rsidP="00527A57">
      <w:pPr>
        <w:pStyle w:val="3"/>
        <w:ind w:firstLine="420"/>
      </w:pPr>
      <w:r>
        <w:t>1.</w:t>
      </w:r>
      <w:r w:rsidR="00424DD2" w:rsidRPr="00527A57">
        <w:rPr>
          <w:rFonts w:hint="eastAsia"/>
        </w:rPr>
        <w:t>被解释变量</w:t>
      </w:r>
    </w:p>
    <w:p w14:paraId="6DCF1528" w14:textId="53B96B91" w:rsidR="00DF77EC" w:rsidRDefault="00424DD2" w:rsidP="001A286F">
      <w:pPr>
        <w:ind w:firstLine="420"/>
        <w:textAlignment w:val="center"/>
        <w:rPr>
          <w:bCs/>
        </w:rPr>
      </w:pPr>
      <w:r>
        <w:rPr>
          <w:rFonts w:hint="eastAsia"/>
          <w:bCs/>
        </w:rPr>
        <w:t>为了研究</w:t>
      </w:r>
      <w:r>
        <w:rPr>
          <w:rFonts w:hint="eastAsia"/>
          <w:bCs/>
        </w:rPr>
        <w:t>CNY-CNH</w:t>
      </w:r>
      <w:r>
        <w:rPr>
          <w:rFonts w:hint="eastAsia"/>
          <w:bCs/>
        </w:rPr>
        <w:t>价差的波动主要受哪些因素影响从而稳定汇差，本文被解释变量选取</w:t>
      </w:r>
      <w:r>
        <w:rPr>
          <w:rFonts w:hint="eastAsia"/>
          <w:bCs/>
        </w:rPr>
        <w:t>CNY-CNH</w:t>
      </w:r>
      <w:r>
        <w:rPr>
          <w:rFonts w:hint="eastAsia"/>
          <w:bCs/>
        </w:rPr>
        <w:t>价差，即在岸人民币汇率减去离岸人民币汇率。数据来源于</w:t>
      </w:r>
      <w:r>
        <w:rPr>
          <w:rFonts w:hint="eastAsia"/>
          <w:bCs/>
        </w:rPr>
        <w:t>Wind</w:t>
      </w:r>
      <w:r>
        <w:rPr>
          <w:rFonts w:hint="eastAsia"/>
          <w:bCs/>
        </w:rPr>
        <w:t>数据库。图</w:t>
      </w:r>
      <w:r>
        <w:rPr>
          <w:rFonts w:hint="eastAsia"/>
          <w:bCs/>
        </w:rPr>
        <w:t>1</w:t>
      </w:r>
      <w:r>
        <w:rPr>
          <w:rFonts w:hint="eastAsia"/>
          <w:bCs/>
        </w:rPr>
        <w:t>为</w:t>
      </w:r>
      <w:r>
        <w:rPr>
          <w:rFonts w:hint="eastAsia"/>
          <w:bCs/>
        </w:rPr>
        <w:t>2012</w:t>
      </w:r>
      <w:r>
        <w:rPr>
          <w:rFonts w:hint="eastAsia"/>
          <w:bCs/>
        </w:rPr>
        <w:t>年</w:t>
      </w:r>
      <w:r>
        <w:rPr>
          <w:rFonts w:hint="eastAsia"/>
          <w:bCs/>
        </w:rPr>
        <w:t>5</w:t>
      </w:r>
      <w:r>
        <w:rPr>
          <w:rFonts w:hint="eastAsia"/>
          <w:bCs/>
        </w:rPr>
        <w:t>月至</w:t>
      </w:r>
      <w:r>
        <w:rPr>
          <w:rFonts w:hint="eastAsia"/>
          <w:bCs/>
        </w:rPr>
        <w:t>2021</w:t>
      </w:r>
      <w:r>
        <w:rPr>
          <w:rFonts w:hint="eastAsia"/>
          <w:bCs/>
        </w:rPr>
        <w:t>年</w:t>
      </w:r>
      <w:r>
        <w:rPr>
          <w:rFonts w:hint="eastAsia"/>
          <w:bCs/>
        </w:rPr>
        <w:t>6</w:t>
      </w:r>
      <w:r>
        <w:rPr>
          <w:rFonts w:hint="eastAsia"/>
          <w:bCs/>
        </w:rPr>
        <w:t>月间在岸人民币汇率、离岸人民币汇率与</w:t>
      </w:r>
      <w:r>
        <w:rPr>
          <w:rFonts w:hint="eastAsia"/>
          <w:bCs/>
        </w:rPr>
        <w:t>CNY-CNH</w:t>
      </w:r>
      <w:r>
        <w:rPr>
          <w:rFonts w:hint="eastAsia"/>
          <w:bCs/>
        </w:rPr>
        <w:t>价差的走势图。</w:t>
      </w:r>
    </w:p>
    <w:p w14:paraId="03E7EE92" w14:textId="17987866" w:rsidR="00DF77EC" w:rsidRDefault="00DF77EC">
      <w:pPr>
        <w:ind w:firstLine="420"/>
        <w:textAlignment w:val="center"/>
        <w:rPr>
          <w:bCs/>
          <w:color w:val="0000FF"/>
        </w:rPr>
      </w:pPr>
      <w:r>
        <w:rPr>
          <w:bCs/>
          <w:noProof/>
          <w:color w:val="0000FF"/>
        </w:rPr>
        <w:drawing>
          <wp:anchor distT="0" distB="0" distL="114300" distR="114300" simplePos="0" relativeHeight="251650560" behindDoc="0" locked="0" layoutInCell="1" allowOverlap="1" wp14:anchorId="6A889232" wp14:editId="55A7553A">
            <wp:simplePos x="0" y="0"/>
            <wp:positionH relativeFrom="column">
              <wp:posOffset>440697</wp:posOffset>
            </wp:positionH>
            <wp:positionV relativeFrom="paragraph">
              <wp:posOffset>98425</wp:posOffset>
            </wp:positionV>
            <wp:extent cx="4462810" cy="2969878"/>
            <wp:effectExtent l="0" t="0" r="0" b="508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810" cy="2969878"/>
                    </a:xfrm>
                    <a:prstGeom prst="rect">
                      <a:avLst/>
                    </a:prstGeom>
                    <a:noFill/>
                  </pic:spPr>
                </pic:pic>
              </a:graphicData>
            </a:graphic>
            <wp14:sizeRelH relativeFrom="page">
              <wp14:pctWidth>0</wp14:pctWidth>
            </wp14:sizeRelH>
            <wp14:sizeRelV relativeFrom="page">
              <wp14:pctHeight>0</wp14:pctHeight>
            </wp14:sizeRelV>
          </wp:anchor>
        </w:drawing>
      </w:r>
    </w:p>
    <w:p w14:paraId="2E07F184" w14:textId="77777777" w:rsidR="00DF77EC" w:rsidRDefault="00DF77EC">
      <w:pPr>
        <w:ind w:firstLine="420"/>
        <w:jc w:val="center"/>
        <w:textAlignment w:val="center"/>
        <w:rPr>
          <w:bCs/>
        </w:rPr>
      </w:pPr>
    </w:p>
    <w:p w14:paraId="1CBC02F1" w14:textId="77777777" w:rsidR="00DF77EC" w:rsidRDefault="00DF77EC">
      <w:pPr>
        <w:ind w:firstLine="420"/>
        <w:jc w:val="center"/>
        <w:textAlignment w:val="center"/>
        <w:rPr>
          <w:bCs/>
        </w:rPr>
      </w:pPr>
    </w:p>
    <w:p w14:paraId="15353C3D" w14:textId="77777777" w:rsidR="00DF77EC" w:rsidRDefault="00DF77EC">
      <w:pPr>
        <w:ind w:firstLine="420"/>
        <w:jc w:val="center"/>
        <w:textAlignment w:val="center"/>
        <w:rPr>
          <w:bCs/>
        </w:rPr>
      </w:pPr>
    </w:p>
    <w:p w14:paraId="6A77DA78" w14:textId="77777777" w:rsidR="00DF77EC" w:rsidRDefault="00DF77EC">
      <w:pPr>
        <w:ind w:firstLine="420"/>
        <w:jc w:val="center"/>
        <w:textAlignment w:val="center"/>
        <w:rPr>
          <w:bCs/>
        </w:rPr>
      </w:pPr>
    </w:p>
    <w:p w14:paraId="443730C5" w14:textId="77777777" w:rsidR="00DF77EC" w:rsidRDefault="00DF77EC">
      <w:pPr>
        <w:ind w:firstLine="420"/>
        <w:jc w:val="center"/>
        <w:textAlignment w:val="center"/>
        <w:rPr>
          <w:bCs/>
        </w:rPr>
      </w:pPr>
    </w:p>
    <w:p w14:paraId="625C8F12" w14:textId="77777777" w:rsidR="00DF77EC" w:rsidRDefault="00DF77EC">
      <w:pPr>
        <w:ind w:firstLine="420"/>
        <w:jc w:val="center"/>
        <w:textAlignment w:val="center"/>
        <w:rPr>
          <w:bCs/>
        </w:rPr>
      </w:pPr>
    </w:p>
    <w:p w14:paraId="02DC1A7B" w14:textId="77777777" w:rsidR="00DF77EC" w:rsidRDefault="00DF77EC">
      <w:pPr>
        <w:ind w:firstLine="420"/>
        <w:jc w:val="center"/>
        <w:textAlignment w:val="center"/>
        <w:rPr>
          <w:bCs/>
        </w:rPr>
      </w:pPr>
    </w:p>
    <w:p w14:paraId="35E1580E" w14:textId="77777777" w:rsidR="00DF77EC" w:rsidRDefault="00DF77EC">
      <w:pPr>
        <w:ind w:firstLine="420"/>
        <w:jc w:val="center"/>
        <w:textAlignment w:val="center"/>
        <w:rPr>
          <w:bCs/>
        </w:rPr>
      </w:pPr>
    </w:p>
    <w:p w14:paraId="72EAD4D3" w14:textId="77777777" w:rsidR="00DF77EC" w:rsidRDefault="00DF77EC" w:rsidP="001A286F">
      <w:pPr>
        <w:ind w:firstLineChars="0" w:firstLine="0"/>
        <w:textAlignment w:val="center"/>
        <w:rPr>
          <w:bCs/>
        </w:rPr>
      </w:pPr>
    </w:p>
    <w:p w14:paraId="1181AB24" w14:textId="77777777" w:rsidR="002512D8" w:rsidRDefault="00424DD2">
      <w:pPr>
        <w:spacing w:line="360" w:lineRule="exact"/>
        <w:ind w:firstLine="420"/>
        <w:jc w:val="center"/>
        <w:rPr>
          <w:bCs/>
        </w:rPr>
      </w:pPr>
      <w:r>
        <w:rPr>
          <w:rFonts w:hint="eastAsia"/>
          <w:bCs/>
        </w:rPr>
        <w:t>图</w:t>
      </w:r>
      <w:r>
        <w:rPr>
          <w:rFonts w:hint="eastAsia"/>
          <w:bCs/>
        </w:rPr>
        <w:t xml:space="preserve">1 </w:t>
      </w:r>
      <w:r>
        <w:rPr>
          <w:rFonts w:hint="eastAsia"/>
          <w:bCs/>
        </w:rPr>
        <w:t>在岸（</w:t>
      </w:r>
      <w:r>
        <w:rPr>
          <w:rFonts w:hint="eastAsia"/>
          <w:bCs/>
        </w:rPr>
        <w:t>CNY</w:t>
      </w:r>
      <w:r>
        <w:rPr>
          <w:rFonts w:hint="eastAsia"/>
          <w:bCs/>
        </w:rPr>
        <w:t>）与离岸（</w:t>
      </w:r>
      <w:r>
        <w:rPr>
          <w:rFonts w:hint="eastAsia"/>
          <w:bCs/>
        </w:rPr>
        <w:t>CNH</w:t>
      </w:r>
      <w:r>
        <w:rPr>
          <w:rFonts w:hint="eastAsia"/>
          <w:bCs/>
        </w:rPr>
        <w:t>）人民币即期汇率差异</w:t>
      </w:r>
    </w:p>
    <w:p w14:paraId="368F3F1F" w14:textId="77777777" w:rsidR="002512D8" w:rsidRDefault="00424DD2" w:rsidP="00F655E9">
      <w:pPr>
        <w:ind w:firstLine="420"/>
        <w:textAlignment w:val="center"/>
        <w:rPr>
          <w:bCs/>
        </w:rPr>
      </w:pPr>
      <w:r w:rsidRPr="001A286F">
        <w:rPr>
          <w:rFonts w:hint="eastAsia"/>
        </w:rPr>
        <w:t>观察图</w:t>
      </w:r>
      <w:r w:rsidRPr="001A286F">
        <w:rPr>
          <w:rFonts w:hint="eastAsia"/>
        </w:rPr>
        <w:t>1</w:t>
      </w:r>
      <w:r w:rsidRPr="001A286F">
        <w:rPr>
          <w:rFonts w:hint="eastAsia"/>
        </w:rPr>
        <w:t>可知，自</w:t>
      </w:r>
      <w:r w:rsidRPr="001A286F">
        <w:rPr>
          <w:rFonts w:hint="eastAsia"/>
        </w:rPr>
        <w:t>2015</w:t>
      </w:r>
      <w:r w:rsidRPr="001A286F">
        <w:rPr>
          <w:rFonts w:hint="eastAsia"/>
        </w:rPr>
        <w:t>年“</w:t>
      </w:r>
      <w:r w:rsidRPr="001A286F">
        <w:rPr>
          <w:rFonts w:hint="eastAsia"/>
        </w:rPr>
        <w:t>8.11</w:t>
      </w:r>
      <w:r w:rsidRPr="001A286F">
        <w:rPr>
          <w:rFonts w:hint="eastAsia"/>
        </w:rPr>
        <w:t>”汇改以来，在岸人民币汇率与离岸人民币汇率由之前的单边升值状态转变为贬值与升值双向变动的趋势。</w:t>
      </w:r>
      <w:r w:rsidRPr="001A286F">
        <w:rPr>
          <w:rFonts w:hint="eastAsia"/>
        </w:rPr>
        <w:t>2012</w:t>
      </w:r>
      <w:r w:rsidRPr="001A286F">
        <w:rPr>
          <w:rFonts w:hint="eastAsia"/>
        </w:rPr>
        <w:t>年</w:t>
      </w:r>
      <w:r w:rsidRPr="001A286F">
        <w:rPr>
          <w:rFonts w:hint="eastAsia"/>
        </w:rPr>
        <w:t>5</w:t>
      </w:r>
      <w:r w:rsidRPr="001A286F">
        <w:rPr>
          <w:rFonts w:hint="eastAsia"/>
        </w:rPr>
        <w:t>月至</w:t>
      </w:r>
      <w:r w:rsidRPr="001A286F">
        <w:rPr>
          <w:rFonts w:hint="eastAsia"/>
        </w:rPr>
        <w:t>2021</w:t>
      </w:r>
      <w:r w:rsidRPr="001A286F">
        <w:rPr>
          <w:rFonts w:hint="eastAsia"/>
        </w:rPr>
        <w:t>年</w:t>
      </w:r>
      <w:r w:rsidRPr="001A286F">
        <w:rPr>
          <w:rFonts w:hint="eastAsia"/>
        </w:rPr>
        <w:t>6</w:t>
      </w:r>
      <w:r w:rsidRPr="001A286F">
        <w:rPr>
          <w:rFonts w:hint="eastAsia"/>
        </w:rPr>
        <w:t>月</w:t>
      </w:r>
      <w:r w:rsidRPr="001A286F">
        <w:rPr>
          <w:rFonts w:hint="eastAsia"/>
        </w:rPr>
        <w:t>CNY-CNH</w:t>
      </w:r>
      <w:r w:rsidRPr="001A286F">
        <w:rPr>
          <w:rFonts w:hint="eastAsia"/>
        </w:rPr>
        <w:t>价差围绕</w:t>
      </w:r>
      <w:r w:rsidRPr="001A286F">
        <w:rPr>
          <w:rFonts w:hint="eastAsia"/>
        </w:rPr>
        <w:t>0</w:t>
      </w:r>
      <w:r w:rsidRPr="001A286F">
        <w:rPr>
          <w:rFonts w:hint="eastAsia"/>
        </w:rPr>
        <w:t>值呈双向波动趋势，然而</w:t>
      </w:r>
      <w:r w:rsidRPr="001A286F">
        <w:rPr>
          <w:rFonts w:hint="eastAsia"/>
        </w:rPr>
        <w:t>2015</w:t>
      </w:r>
      <w:r w:rsidRPr="001A286F">
        <w:rPr>
          <w:rFonts w:hint="eastAsia"/>
        </w:rPr>
        <w:t>年</w:t>
      </w:r>
      <w:r w:rsidRPr="001A286F">
        <w:rPr>
          <w:rFonts w:hint="eastAsia"/>
        </w:rPr>
        <w:t>5</w:t>
      </w:r>
      <w:r w:rsidRPr="001A286F">
        <w:rPr>
          <w:rFonts w:hint="eastAsia"/>
        </w:rPr>
        <w:t>月至</w:t>
      </w:r>
      <w:r w:rsidRPr="001A286F">
        <w:rPr>
          <w:rFonts w:hint="eastAsia"/>
        </w:rPr>
        <w:t>2016</w:t>
      </w:r>
      <w:r w:rsidRPr="001A286F">
        <w:rPr>
          <w:rFonts w:hint="eastAsia"/>
        </w:rPr>
        <w:t>年</w:t>
      </w:r>
      <w:r w:rsidRPr="001A286F">
        <w:rPr>
          <w:rFonts w:hint="eastAsia"/>
        </w:rPr>
        <w:t>6</w:t>
      </w:r>
      <w:r w:rsidRPr="001A286F">
        <w:rPr>
          <w:rFonts w:hint="eastAsia"/>
        </w:rPr>
        <w:t>月、</w:t>
      </w:r>
      <w:r w:rsidRPr="001A286F">
        <w:rPr>
          <w:rFonts w:hint="eastAsia"/>
        </w:rPr>
        <w:t>2016</w:t>
      </w:r>
      <w:r w:rsidRPr="001A286F">
        <w:rPr>
          <w:rFonts w:hint="eastAsia"/>
        </w:rPr>
        <w:t>年至</w:t>
      </w:r>
      <w:r w:rsidRPr="001A286F">
        <w:rPr>
          <w:rFonts w:hint="eastAsia"/>
        </w:rPr>
        <w:t>2017</w:t>
      </w:r>
      <w:r w:rsidRPr="001A286F">
        <w:rPr>
          <w:rFonts w:hint="eastAsia"/>
        </w:rPr>
        <w:t>年</w:t>
      </w:r>
      <w:r w:rsidRPr="001A286F">
        <w:rPr>
          <w:rFonts w:hint="eastAsia"/>
        </w:rPr>
        <w:t>5</w:t>
      </w:r>
      <w:r w:rsidRPr="001A286F">
        <w:rPr>
          <w:rFonts w:hint="eastAsia"/>
        </w:rPr>
        <w:t>月、</w:t>
      </w:r>
      <w:r w:rsidRPr="001A286F">
        <w:rPr>
          <w:rFonts w:hint="eastAsia"/>
        </w:rPr>
        <w:t>2019</w:t>
      </w:r>
      <w:r w:rsidRPr="001A286F">
        <w:rPr>
          <w:rFonts w:hint="eastAsia"/>
        </w:rPr>
        <w:t>年至</w:t>
      </w:r>
      <w:r w:rsidRPr="001A286F">
        <w:rPr>
          <w:rFonts w:hint="eastAsia"/>
        </w:rPr>
        <w:t>2020</w:t>
      </w:r>
      <w:r w:rsidRPr="001A286F">
        <w:rPr>
          <w:rFonts w:hint="eastAsia"/>
        </w:rPr>
        <w:t>年</w:t>
      </w:r>
      <w:r w:rsidRPr="001A286F">
        <w:rPr>
          <w:rFonts w:hint="eastAsia"/>
        </w:rPr>
        <w:t>5</w:t>
      </w:r>
      <w:r w:rsidRPr="001A286F">
        <w:rPr>
          <w:rFonts w:hint="eastAsia"/>
        </w:rPr>
        <w:t>月间</w:t>
      </w:r>
      <w:r w:rsidRPr="001A286F">
        <w:rPr>
          <w:rFonts w:hint="eastAsia"/>
        </w:rPr>
        <w:t>CNY-CNH</w:t>
      </w:r>
      <w:r w:rsidRPr="001A286F">
        <w:rPr>
          <w:rFonts w:hint="eastAsia"/>
        </w:rPr>
        <w:t>价差波动幅度较大。因此有必要对</w:t>
      </w:r>
      <w:r w:rsidRPr="001A286F">
        <w:rPr>
          <w:rFonts w:hint="eastAsia"/>
        </w:rPr>
        <w:t>CNY-CNH</w:t>
      </w:r>
      <w:r w:rsidRPr="001A286F">
        <w:rPr>
          <w:rFonts w:hint="eastAsia"/>
        </w:rPr>
        <w:t>价差波动</w:t>
      </w:r>
      <w:r>
        <w:rPr>
          <w:rFonts w:hint="eastAsia"/>
          <w:bCs/>
        </w:rPr>
        <w:t>的影响因素进行深入研究，从而达到防止投机者过度投机、稳定外汇市场的目的。</w:t>
      </w:r>
    </w:p>
    <w:p w14:paraId="30756732" w14:textId="14884060" w:rsidR="002512D8" w:rsidRDefault="00424DD2" w:rsidP="001A286F">
      <w:pPr>
        <w:pStyle w:val="3"/>
        <w:ind w:firstLine="420"/>
      </w:pPr>
      <w:r>
        <w:rPr>
          <w:rFonts w:hint="eastAsia"/>
        </w:rPr>
        <w:lastRenderedPageBreak/>
        <w:t>2</w:t>
      </w:r>
      <w:r w:rsidR="00AD3EF6">
        <w:rPr>
          <w:rFonts w:hint="eastAsia"/>
        </w:rPr>
        <w:t>.</w:t>
      </w:r>
      <w:r>
        <w:rPr>
          <w:rFonts w:hint="eastAsia"/>
        </w:rPr>
        <w:t>解释变量</w:t>
      </w:r>
    </w:p>
    <w:p w14:paraId="2304C853" w14:textId="6AAF06AF" w:rsidR="002512D8" w:rsidRDefault="00424DD2">
      <w:pPr>
        <w:ind w:firstLine="420"/>
        <w:textAlignment w:val="center"/>
        <w:rPr>
          <w:bCs/>
        </w:rPr>
      </w:pPr>
      <w:r>
        <w:rPr>
          <w:rFonts w:hint="eastAsia"/>
          <w:bCs/>
        </w:rPr>
        <w:t>由于</w:t>
      </w:r>
      <w:r>
        <w:rPr>
          <w:rFonts w:hint="eastAsia"/>
          <w:bCs/>
        </w:rPr>
        <w:t>CNY-CNH</w:t>
      </w:r>
      <w:r>
        <w:rPr>
          <w:rFonts w:hint="eastAsia"/>
          <w:bCs/>
        </w:rPr>
        <w:t>价差的波动是多方面因素共同作用的结果，因此本文将解释变量细分为三类，分别是基本面变量、</w:t>
      </w:r>
      <w:r w:rsidR="00405C52">
        <w:rPr>
          <w:rFonts w:hint="eastAsia"/>
          <w:bCs/>
        </w:rPr>
        <w:t>政治经济</w:t>
      </w:r>
      <w:r>
        <w:rPr>
          <w:rFonts w:hint="eastAsia"/>
          <w:bCs/>
        </w:rPr>
        <w:t>环境变量</w:t>
      </w:r>
      <w:r w:rsidR="00405C52">
        <w:rPr>
          <w:rFonts w:hint="eastAsia"/>
          <w:bCs/>
        </w:rPr>
        <w:t>、投资者关注度</w:t>
      </w:r>
      <w:r>
        <w:rPr>
          <w:rFonts w:hint="eastAsia"/>
          <w:bCs/>
        </w:rPr>
        <w:t>和政策变量。</w:t>
      </w:r>
    </w:p>
    <w:p w14:paraId="0985E5DB" w14:textId="77777777" w:rsidR="002512D8" w:rsidRDefault="00424DD2">
      <w:pPr>
        <w:ind w:firstLine="420"/>
        <w:textAlignment w:val="center"/>
        <w:rPr>
          <w:bCs/>
        </w:rPr>
      </w:pPr>
      <w:r>
        <w:rPr>
          <w:rFonts w:hint="eastAsia"/>
          <w:bCs/>
        </w:rPr>
        <w:t>（</w:t>
      </w:r>
      <w:r>
        <w:rPr>
          <w:rFonts w:hint="eastAsia"/>
          <w:bCs/>
        </w:rPr>
        <w:t>1</w:t>
      </w:r>
      <w:r>
        <w:rPr>
          <w:rFonts w:hint="eastAsia"/>
          <w:bCs/>
        </w:rPr>
        <w:t>）基本面变量</w:t>
      </w:r>
    </w:p>
    <w:p w14:paraId="70CFC3E5" w14:textId="73AC36D6" w:rsidR="002512D8" w:rsidRDefault="00424DD2">
      <w:pPr>
        <w:ind w:firstLine="420"/>
        <w:textAlignment w:val="center"/>
        <w:rPr>
          <w:bCs/>
        </w:rPr>
      </w:pPr>
      <w:r>
        <w:rPr>
          <w:rFonts w:hint="eastAsia"/>
          <w:bCs/>
        </w:rPr>
        <w:t>中美利差</w:t>
      </w:r>
      <w:r>
        <w:rPr>
          <w:rFonts w:hint="eastAsia"/>
          <w:bCs/>
        </w:rPr>
        <w:t>SHIBOR-LIBBOR</w:t>
      </w:r>
      <w:r>
        <w:rPr>
          <w:rFonts w:hint="eastAsia"/>
          <w:bCs/>
        </w:rPr>
        <w:t>。在一般情况下</w:t>
      </w:r>
      <w:r>
        <w:rPr>
          <w:rFonts w:hint="eastAsia"/>
          <w:bCs/>
        </w:rPr>
        <w:t>SHIBOR</w:t>
      </w:r>
      <w:r>
        <w:rPr>
          <w:rFonts w:hint="eastAsia"/>
          <w:bCs/>
        </w:rPr>
        <w:t>是要高于</w:t>
      </w:r>
      <w:r w:rsidR="001D2D98">
        <w:rPr>
          <w:rFonts w:hint="eastAsia"/>
          <w:bCs/>
        </w:rPr>
        <w:t>美元</w:t>
      </w:r>
      <w:r>
        <w:rPr>
          <w:rFonts w:hint="eastAsia"/>
          <w:bCs/>
        </w:rPr>
        <w:t>LIBOR</w:t>
      </w:r>
      <w:r>
        <w:rPr>
          <w:rFonts w:hint="eastAsia"/>
          <w:bCs/>
        </w:rPr>
        <w:t>的，因此中美利差大多为正值。当</w:t>
      </w:r>
      <w:r w:rsidR="00BC61E5">
        <w:rPr>
          <w:rFonts w:hint="eastAsia"/>
          <w:bCs/>
        </w:rPr>
        <w:t>我国</w:t>
      </w:r>
      <w:r>
        <w:rPr>
          <w:rFonts w:hint="eastAsia"/>
          <w:bCs/>
        </w:rPr>
        <w:t>利率相对</w:t>
      </w:r>
      <w:r w:rsidR="00BC61E5">
        <w:rPr>
          <w:rFonts w:hint="eastAsia"/>
          <w:bCs/>
        </w:rPr>
        <w:t>美元</w:t>
      </w:r>
      <w:r>
        <w:rPr>
          <w:rFonts w:hint="eastAsia"/>
          <w:bCs/>
        </w:rPr>
        <w:t>利率</w:t>
      </w:r>
      <w:r w:rsidR="00BC61E5">
        <w:rPr>
          <w:rFonts w:hint="eastAsia"/>
          <w:bCs/>
        </w:rPr>
        <w:t>上升</w:t>
      </w:r>
      <w:r>
        <w:rPr>
          <w:rFonts w:hint="eastAsia"/>
          <w:bCs/>
        </w:rPr>
        <w:t>时，投资者会加强</w:t>
      </w:r>
      <w:r w:rsidR="00BC61E5">
        <w:rPr>
          <w:rFonts w:hint="eastAsia"/>
          <w:bCs/>
        </w:rPr>
        <w:t>投资</w:t>
      </w:r>
      <w:r>
        <w:rPr>
          <w:rFonts w:hint="eastAsia"/>
          <w:bCs/>
        </w:rPr>
        <w:t>境内市场的动机，人民币</w:t>
      </w:r>
      <w:r w:rsidR="00BC61E5">
        <w:rPr>
          <w:rFonts w:hint="eastAsia"/>
          <w:bCs/>
        </w:rPr>
        <w:t>需求</w:t>
      </w:r>
      <w:r>
        <w:rPr>
          <w:rFonts w:hint="eastAsia"/>
          <w:bCs/>
        </w:rPr>
        <w:t>大于</w:t>
      </w:r>
      <w:r w:rsidR="00BC61E5">
        <w:rPr>
          <w:rFonts w:hint="eastAsia"/>
          <w:bCs/>
        </w:rPr>
        <w:t>供给</w:t>
      </w:r>
      <w:r>
        <w:rPr>
          <w:rFonts w:hint="eastAsia"/>
          <w:bCs/>
        </w:rPr>
        <w:t>，造成人民币相对</w:t>
      </w:r>
      <w:r w:rsidR="00BC61E5">
        <w:rPr>
          <w:rFonts w:hint="eastAsia"/>
          <w:bCs/>
        </w:rPr>
        <w:t>升</w:t>
      </w:r>
      <w:r>
        <w:rPr>
          <w:rFonts w:hint="eastAsia"/>
          <w:bCs/>
        </w:rPr>
        <w:t>值。又因为在岸市场相对于离岸市场而言受管制较多，比如有人民币兑美元汇率中间价偏离度不超过</w:t>
      </w:r>
      <w:r>
        <w:rPr>
          <w:rFonts w:hint="eastAsia"/>
          <w:bCs/>
        </w:rPr>
        <w:t>2%</w:t>
      </w:r>
      <w:r>
        <w:rPr>
          <w:rFonts w:hint="eastAsia"/>
          <w:bCs/>
        </w:rPr>
        <w:t>的限制，所以离岸人民币与在岸人民币相比较而言更加敏感，离岸人民币</w:t>
      </w:r>
      <w:r w:rsidR="00BC61E5">
        <w:rPr>
          <w:rFonts w:hint="eastAsia"/>
          <w:bCs/>
        </w:rPr>
        <w:t>升</w:t>
      </w:r>
      <w:r>
        <w:rPr>
          <w:rFonts w:hint="eastAsia"/>
          <w:bCs/>
        </w:rPr>
        <w:t>值幅度高于在岸人民币，导致</w:t>
      </w:r>
      <w:r>
        <w:rPr>
          <w:rFonts w:hint="eastAsia"/>
          <w:bCs/>
        </w:rPr>
        <w:t>CNY-CNH</w:t>
      </w:r>
      <w:r>
        <w:rPr>
          <w:rFonts w:hint="eastAsia"/>
          <w:bCs/>
        </w:rPr>
        <w:t>价差在数值上</w:t>
      </w:r>
      <w:r w:rsidR="00BC61E5">
        <w:rPr>
          <w:rFonts w:hint="eastAsia"/>
          <w:bCs/>
        </w:rPr>
        <w:t>增大</w:t>
      </w:r>
      <w:r>
        <w:rPr>
          <w:rFonts w:hint="eastAsia"/>
          <w:bCs/>
        </w:rPr>
        <w:t>。因此中美利差越</w:t>
      </w:r>
      <w:r w:rsidR="00BC61E5">
        <w:rPr>
          <w:rFonts w:hint="eastAsia"/>
          <w:bCs/>
        </w:rPr>
        <w:t>大</w:t>
      </w:r>
      <w:r>
        <w:rPr>
          <w:rFonts w:hint="eastAsia"/>
          <w:bCs/>
        </w:rPr>
        <w:t>，</w:t>
      </w:r>
      <w:r>
        <w:rPr>
          <w:rFonts w:hint="eastAsia"/>
          <w:bCs/>
        </w:rPr>
        <w:t>CNY-CNH</w:t>
      </w:r>
      <w:r>
        <w:rPr>
          <w:rFonts w:hint="eastAsia"/>
          <w:bCs/>
        </w:rPr>
        <w:t>价差越</w:t>
      </w:r>
      <w:r w:rsidR="00BC61E5">
        <w:rPr>
          <w:rFonts w:hint="eastAsia"/>
          <w:bCs/>
        </w:rPr>
        <w:t>大</w:t>
      </w:r>
      <w:r>
        <w:rPr>
          <w:rFonts w:hint="eastAsia"/>
          <w:bCs/>
        </w:rPr>
        <w:t>。</w:t>
      </w:r>
    </w:p>
    <w:p w14:paraId="6D9B1103" w14:textId="77777777" w:rsidR="002512D8" w:rsidRDefault="00424DD2">
      <w:pPr>
        <w:ind w:firstLine="420"/>
        <w:textAlignment w:val="center"/>
        <w:rPr>
          <w:bCs/>
        </w:rPr>
      </w:pPr>
      <w:r>
        <w:rPr>
          <w:rFonts w:hint="eastAsia"/>
          <w:bCs/>
        </w:rPr>
        <w:t>人民币升贬值预期</w:t>
      </w:r>
      <w:r>
        <w:rPr>
          <w:rFonts w:hint="eastAsia"/>
          <w:bCs/>
        </w:rPr>
        <w:t>NDF</w:t>
      </w:r>
      <w:r>
        <w:rPr>
          <w:rFonts w:hint="eastAsia"/>
          <w:bCs/>
        </w:rPr>
        <w:t>。</w:t>
      </w:r>
      <w:r>
        <w:rPr>
          <w:rFonts w:hint="eastAsia"/>
          <w:bCs/>
        </w:rPr>
        <w:t>NDF</w:t>
      </w:r>
      <w:r>
        <w:rPr>
          <w:rFonts w:hint="eastAsia"/>
          <w:bCs/>
        </w:rPr>
        <w:t>增大预示投资者对人民币贬值预期增大，然而离岸人民币市场由于不受管制从而贬值较快，导致</w:t>
      </w:r>
      <w:r>
        <w:rPr>
          <w:rFonts w:hint="eastAsia"/>
          <w:bCs/>
        </w:rPr>
        <w:t>CNY-CNH</w:t>
      </w:r>
      <w:r>
        <w:rPr>
          <w:rFonts w:hint="eastAsia"/>
          <w:bCs/>
        </w:rPr>
        <w:t>价差进一步减小。即</w:t>
      </w:r>
      <w:r>
        <w:rPr>
          <w:rFonts w:hint="eastAsia"/>
          <w:bCs/>
        </w:rPr>
        <w:t>NDF</w:t>
      </w:r>
      <w:r>
        <w:rPr>
          <w:rFonts w:hint="eastAsia"/>
          <w:bCs/>
        </w:rPr>
        <w:t>越大，</w:t>
      </w:r>
      <w:r>
        <w:rPr>
          <w:rFonts w:hint="eastAsia"/>
          <w:bCs/>
        </w:rPr>
        <w:t>CNY-CNH</w:t>
      </w:r>
      <w:r>
        <w:rPr>
          <w:rFonts w:hint="eastAsia"/>
          <w:bCs/>
        </w:rPr>
        <w:t>越小，表现为负相关，并且波动性增强。</w:t>
      </w:r>
    </w:p>
    <w:p w14:paraId="70E8A4C9" w14:textId="244A67AA" w:rsidR="002512D8" w:rsidRDefault="00424DD2">
      <w:pPr>
        <w:ind w:firstLine="420"/>
        <w:textAlignment w:val="center"/>
        <w:rPr>
          <w:bCs/>
        </w:rPr>
      </w:pPr>
      <w:r>
        <w:rPr>
          <w:rFonts w:hint="eastAsia"/>
          <w:bCs/>
        </w:rPr>
        <w:t>（</w:t>
      </w:r>
      <w:r>
        <w:rPr>
          <w:rFonts w:hint="eastAsia"/>
          <w:bCs/>
        </w:rPr>
        <w:t>2</w:t>
      </w:r>
      <w:r>
        <w:rPr>
          <w:rFonts w:hint="eastAsia"/>
          <w:bCs/>
        </w:rPr>
        <w:t>）</w:t>
      </w:r>
      <w:r w:rsidR="00405C52">
        <w:rPr>
          <w:rFonts w:hint="eastAsia"/>
          <w:bCs/>
        </w:rPr>
        <w:t>政治经济</w:t>
      </w:r>
      <w:r>
        <w:rPr>
          <w:rFonts w:hint="eastAsia"/>
          <w:bCs/>
        </w:rPr>
        <w:t>环境变量</w:t>
      </w:r>
    </w:p>
    <w:p w14:paraId="2806A73C" w14:textId="05F863CE" w:rsidR="002512D8" w:rsidRDefault="00424DD2" w:rsidP="003839F5">
      <w:pPr>
        <w:ind w:firstLine="420"/>
        <w:textAlignment w:val="center"/>
        <w:rPr>
          <w:bCs/>
        </w:rPr>
      </w:pPr>
      <w:r>
        <w:rPr>
          <w:rFonts w:hint="eastAsia"/>
          <w:bCs/>
        </w:rPr>
        <w:t>经济政策不确定性</w:t>
      </w:r>
      <w:r>
        <w:rPr>
          <w:rFonts w:hint="eastAsia"/>
          <w:bCs/>
        </w:rPr>
        <w:t>EPU</w:t>
      </w:r>
      <w:r>
        <w:rPr>
          <w:rFonts w:hint="eastAsia"/>
          <w:bCs/>
        </w:rPr>
        <w:t>。经济政策不确定性选自</w:t>
      </w:r>
      <w:r w:rsidR="00D631C4">
        <w:rPr>
          <w:rFonts w:hint="eastAsia"/>
          <w:bCs/>
        </w:rPr>
        <w:t>由</w:t>
      </w:r>
      <w:r w:rsidR="00D631C4">
        <w:rPr>
          <w:rFonts w:hint="eastAsia"/>
          <w:bCs/>
        </w:rPr>
        <w:t>S</w:t>
      </w:r>
      <w:r w:rsidR="00D631C4">
        <w:rPr>
          <w:bCs/>
        </w:rPr>
        <w:t xml:space="preserve">teven </w:t>
      </w:r>
      <w:proofErr w:type="spellStart"/>
      <w:r w:rsidR="00D631C4">
        <w:rPr>
          <w:bCs/>
        </w:rPr>
        <w:t>J.Davis</w:t>
      </w:r>
      <w:proofErr w:type="spellEnd"/>
      <w:r w:rsidR="00D631C4">
        <w:rPr>
          <w:rFonts w:hint="eastAsia"/>
          <w:bCs/>
        </w:rPr>
        <w:t>、</w:t>
      </w:r>
      <w:proofErr w:type="spellStart"/>
      <w:r w:rsidR="00D631C4">
        <w:rPr>
          <w:rFonts w:hint="eastAsia"/>
          <w:bCs/>
        </w:rPr>
        <w:t>D</w:t>
      </w:r>
      <w:r w:rsidR="00D631C4">
        <w:rPr>
          <w:bCs/>
        </w:rPr>
        <w:t>ingqian</w:t>
      </w:r>
      <w:proofErr w:type="spellEnd"/>
      <w:r w:rsidR="00D631C4">
        <w:rPr>
          <w:bCs/>
        </w:rPr>
        <w:t xml:space="preserve"> Liu</w:t>
      </w:r>
      <w:r w:rsidR="00596941">
        <w:rPr>
          <w:rFonts w:hint="eastAsia"/>
          <w:bCs/>
        </w:rPr>
        <w:t>和</w:t>
      </w:r>
      <w:proofErr w:type="spellStart"/>
      <w:r w:rsidR="00596941">
        <w:rPr>
          <w:bCs/>
        </w:rPr>
        <w:t>Xuguang</w:t>
      </w:r>
      <w:proofErr w:type="spellEnd"/>
      <w:r w:rsidR="00596941">
        <w:rPr>
          <w:bCs/>
        </w:rPr>
        <w:t xml:space="preserve"> </w:t>
      </w:r>
      <w:proofErr w:type="spellStart"/>
      <w:r w:rsidR="00D631C4">
        <w:rPr>
          <w:rFonts w:hint="eastAsia"/>
          <w:bCs/>
        </w:rPr>
        <w:t>S</w:t>
      </w:r>
      <w:r w:rsidR="00D631C4">
        <w:rPr>
          <w:bCs/>
        </w:rPr>
        <w:t>.Sheng</w:t>
      </w:r>
      <w:proofErr w:type="spellEnd"/>
      <w:r>
        <w:rPr>
          <w:rFonts w:hint="eastAsia"/>
          <w:bCs/>
        </w:rPr>
        <w:t>根据内陆报纸构建的经济政策不确定性指数</w:t>
      </w:r>
      <w:r w:rsidR="00D631C4">
        <w:rPr>
          <w:rFonts w:hint="eastAsia"/>
          <w:bCs/>
        </w:rPr>
        <w:t>。</w:t>
      </w:r>
      <w:r>
        <w:rPr>
          <w:rFonts w:hint="eastAsia"/>
          <w:bCs/>
        </w:rPr>
        <w:t>作者</w:t>
      </w:r>
      <w:r w:rsidR="00596941">
        <w:rPr>
          <w:rFonts w:hint="eastAsia"/>
          <w:bCs/>
        </w:rPr>
        <w:t>根据</w:t>
      </w:r>
      <w:r w:rsidR="00D631C4">
        <w:rPr>
          <w:rFonts w:hint="eastAsia"/>
          <w:bCs/>
        </w:rPr>
        <w:t>两</w:t>
      </w:r>
      <w:r w:rsidR="00596941">
        <w:rPr>
          <w:rFonts w:hint="eastAsia"/>
          <w:bCs/>
        </w:rPr>
        <w:t>个</w:t>
      </w:r>
      <w:r w:rsidR="00D631C4">
        <w:rPr>
          <w:rFonts w:hint="eastAsia"/>
          <w:bCs/>
        </w:rPr>
        <w:t>中国大陆报纸《人民日报》和《光明日报》对不确定性相关概念进行量化。</w:t>
      </w:r>
      <w:r w:rsidR="00A12F65">
        <w:rPr>
          <w:rFonts w:hint="eastAsia"/>
          <w:bCs/>
        </w:rPr>
        <w:t>主要步骤为：</w:t>
      </w:r>
      <w:r w:rsidR="00D631C4">
        <w:rPr>
          <w:rFonts w:hint="eastAsia"/>
          <w:bCs/>
        </w:rPr>
        <w:t>第一步，为了构建中国的经济政策不确定性指数，首先</w:t>
      </w:r>
      <w:r w:rsidR="00E9702F">
        <w:rPr>
          <w:rFonts w:hint="eastAsia"/>
          <w:bCs/>
        </w:rPr>
        <w:t>统计与经济政策不确定性相关文章数量</w:t>
      </w:r>
      <w:r w:rsidR="00A12F65">
        <w:rPr>
          <w:rFonts w:hint="eastAsia"/>
          <w:bCs/>
        </w:rPr>
        <w:t>，相关文章是指文章中</w:t>
      </w:r>
      <w:r w:rsidR="00D631C4">
        <w:rPr>
          <w:rFonts w:hint="eastAsia"/>
          <w:bCs/>
        </w:rPr>
        <w:t>至少包含</w:t>
      </w:r>
      <w:r w:rsidR="00514C4F">
        <w:rPr>
          <w:rFonts w:hint="eastAsia"/>
          <w:bCs/>
        </w:rPr>
        <w:t>经济、政策和不确定性</w:t>
      </w:r>
      <w:r w:rsidR="00D631C4">
        <w:rPr>
          <w:rFonts w:hint="eastAsia"/>
          <w:bCs/>
        </w:rPr>
        <w:t>三个术语集中的一个术语</w:t>
      </w:r>
      <w:r w:rsidR="00A12F65">
        <w:rPr>
          <w:rFonts w:hint="eastAsia"/>
          <w:bCs/>
        </w:rPr>
        <w:t>。</w:t>
      </w:r>
      <w:r w:rsidR="00514C4F">
        <w:rPr>
          <w:rFonts w:hint="eastAsia"/>
          <w:bCs/>
        </w:rPr>
        <w:t>经济术语集包括的术语有：经济、商业；政策术语集包括的术语有：财政、货币、证监会、银监会、财政部、人民银行、国家发改委、开放、改革、商务部、法律、法规、税收、国债、政府债务、央行、外经贸部、关税、政府赤字；不确定性术语集包括的术语有：不确定、不明确、不明朗、未明、难料、难以预计、难以估计、难以预测、难以预料、未知。</w:t>
      </w:r>
      <w:r w:rsidR="00D631C4">
        <w:rPr>
          <w:rFonts w:hint="eastAsia"/>
          <w:bCs/>
        </w:rPr>
        <w:t>第二步，</w:t>
      </w:r>
      <w:r w:rsidR="00E9702F">
        <w:rPr>
          <w:rFonts w:hint="eastAsia"/>
          <w:bCs/>
        </w:rPr>
        <w:t>统计</w:t>
      </w:r>
      <w:r w:rsidR="00D631C4">
        <w:rPr>
          <w:rFonts w:hint="eastAsia"/>
          <w:bCs/>
        </w:rPr>
        <w:t>同一份报纸同一个月的总文章</w:t>
      </w:r>
      <w:r w:rsidR="00E9702F">
        <w:rPr>
          <w:rFonts w:hint="eastAsia"/>
          <w:bCs/>
        </w:rPr>
        <w:t>数量</w:t>
      </w:r>
      <w:r w:rsidR="00D631C4">
        <w:rPr>
          <w:rFonts w:hint="eastAsia"/>
          <w:bCs/>
        </w:rPr>
        <w:t>。</w:t>
      </w:r>
      <w:r w:rsidR="001B75E4">
        <w:rPr>
          <w:rFonts w:hint="eastAsia"/>
          <w:bCs/>
        </w:rPr>
        <w:t>第三步，</w:t>
      </w:r>
      <w:r w:rsidR="0025642C">
        <w:rPr>
          <w:rFonts w:hint="eastAsia"/>
          <w:bCs/>
        </w:rPr>
        <w:t>统计与经济政策不确定性相关文章占当月该报出版文章总数的比例</w:t>
      </w:r>
      <w:r w:rsidR="001B75E4">
        <w:rPr>
          <w:rFonts w:hint="eastAsia"/>
          <w:bCs/>
        </w:rPr>
        <w:t>。第四步，对每家报纸每月的</w:t>
      </w:r>
      <w:r w:rsidR="0045450C">
        <w:rPr>
          <w:rFonts w:hint="eastAsia"/>
          <w:bCs/>
        </w:rPr>
        <w:t>比例</w:t>
      </w:r>
      <w:r w:rsidR="001B75E4">
        <w:rPr>
          <w:rFonts w:hint="eastAsia"/>
          <w:bCs/>
        </w:rPr>
        <w:t>进行标准化，以实现单位标准化。第五步，计算</w:t>
      </w:r>
      <w:r w:rsidR="00681FC2">
        <w:rPr>
          <w:rFonts w:hint="eastAsia"/>
          <w:bCs/>
        </w:rPr>
        <w:t>标准化数值</w:t>
      </w:r>
      <w:r w:rsidR="001B75E4">
        <w:rPr>
          <w:rFonts w:hint="eastAsia"/>
          <w:bCs/>
        </w:rPr>
        <w:t>的</w:t>
      </w:r>
      <w:r w:rsidR="00681FC2">
        <w:rPr>
          <w:rFonts w:hint="eastAsia"/>
          <w:bCs/>
        </w:rPr>
        <w:t>月度频率的</w:t>
      </w:r>
      <w:r w:rsidR="001B75E4">
        <w:rPr>
          <w:rFonts w:hint="eastAsia"/>
          <w:bCs/>
        </w:rPr>
        <w:t>简单平均值。</w:t>
      </w:r>
      <w:r w:rsidR="00CC4E39">
        <w:rPr>
          <w:rFonts w:hint="eastAsia"/>
          <w:bCs/>
        </w:rPr>
        <w:t>利用</w:t>
      </w:r>
      <w:r w:rsidR="00A14978">
        <w:rPr>
          <w:rFonts w:hint="eastAsia"/>
          <w:bCs/>
        </w:rPr>
        <w:t>中国内陆多家</w:t>
      </w:r>
      <w:r w:rsidR="00CC4E39">
        <w:rPr>
          <w:rFonts w:hint="eastAsia"/>
          <w:bCs/>
        </w:rPr>
        <w:t>新闻媒体报道内容编制的经济政策不确定性指数</w:t>
      </w:r>
      <w:r w:rsidR="0025642C">
        <w:rPr>
          <w:rFonts w:hint="eastAsia"/>
          <w:bCs/>
        </w:rPr>
        <w:t>具有较强的代表性</w:t>
      </w:r>
      <w:r w:rsidR="003839F5">
        <w:rPr>
          <w:rFonts w:hint="eastAsia"/>
          <w:bCs/>
        </w:rPr>
        <w:t>。</w:t>
      </w:r>
      <w:r>
        <w:rPr>
          <w:rFonts w:hint="eastAsia"/>
          <w:bCs/>
        </w:rPr>
        <w:t>经济政策不确定性越大，投资者恐慌情绪可能因此增加，</w:t>
      </w:r>
      <w:r>
        <w:rPr>
          <w:rFonts w:hint="eastAsia"/>
          <w:bCs/>
        </w:rPr>
        <w:t>CNY-CNH</w:t>
      </w:r>
      <w:r>
        <w:rPr>
          <w:rFonts w:hint="eastAsia"/>
          <w:bCs/>
        </w:rPr>
        <w:t>价差波动性增强。</w:t>
      </w:r>
    </w:p>
    <w:p w14:paraId="224A7826" w14:textId="5577ABB7" w:rsidR="002512D8" w:rsidRDefault="00424DD2">
      <w:pPr>
        <w:ind w:firstLine="420"/>
        <w:textAlignment w:val="center"/>
        <w:rPr>
          <w:bCs/>
        </w:rPr>
      </w:pPr>
      <w:r>
        <w:rPr>
          <w:rFonts w:hint="eastAsia"/>
          <w:bCs/>
        </w:rPr>
        <w:t>地缘政治风险</w:t>
      </w:r>
      <w:r>
        <w:rPr>
          <w:rFonts w:hint="eastAsia"/>
          <w:bCs/>
        </w:rPr>
        <w:t>GPR</w:t>
      </w:r>
      <w:r>
        <w:rPr>
          <w:rFonts w:hint="eastAsia"/>
          <w:bCs/>
        </w:rPr>
        <w:t>。地缘政治风险选自由</w:t>
      </w:r>
      <w:r>
        <w:rPr>
          <w:rFonts w:hint="eastAsia"/>
          <w:bCs/>
        </w:rPr>
        <w:t>Dario Caldara</w:t>
      </w:r>
      <w:r>
        <w:rPr>
          <w:rFonts w:hint="eastAsia"/>
          <w:bCs/>
        </w:rPr>
        <w:t>和</w:t>
      </w:r>
      <w:r>
        <w:rPr>
          <w:rFonts w:hint="eastAsia"/>
          <w:bCs/>
        </w:rPr>
        <w:t xml:space="preserve">Matteo </w:t>
      </w:r>
      <w:proofErr w:type="spellStart"/>
      <w:r>
        <w:rPr>
          <w:rFonts w:hint="eastAsia"/>
          <w:bCs/>
        </w:rPr>
        <w:t>lacoviello</w:t>
      </w:r>
      <w:proofErr w:type="spellEnd"/>
      <w:r>
        <w:rPr>
          <w:rFonts w:hint="eastAsia"/>
          <w:bCs/>
        </w:rPr>
        <w:t>开发的地缘</w:t>
      </w:r>
      <w:r>
        <w:rPr>
          <w:rFonts w:hint="eastAsia"/>
          <w:bCs/>
        </w:rPr>
        <w:lastRenderedPageBreak/>
        <w:t>政治风险指数，该指数的构建是基于</w:t>
      </w:r>
      <w:r>
        <w:rPr>
          <w:rFonts w:hint="eastAsia"/>
          <w:bCs/>
        </w:rPr>
        <w:t>11</w:t>
      </w:r>
      <w:r>
        <w:rPr>
          <w:rFonts w:hint="eastAsia"/>
          <w:bCs/>
        </w:rPr>
        <w:t>家主要国际报纸中与地缘政治紧张局势相关的词语的出现情况。相关词语包含六组：第</w:t>
      </w:r>
      <w:r>
        <w:rPr>
          <w:rFonts w:hint="eastAsia"/>
          <w:bCs/>
        </w:rPr>
        <w:t>1</w:t>
      </w:r>
      <w:r>
        <w:rPr>
          <w:rFonts w:hint="eastAsia"/>
          <w:bCs/>
        </w:rPr>
        <w:t>组包括明确提及地缘政治风险相关的词、涉及世界多地区和美国参与的军事相关紧张局势的词；第</w:t>
      </w:r>
      <w:r>
        <w:rPr>
          <w:rFonts w:hint="eastAsia"/>
          <w:bCs/>
        </w:rPr>
        <w:t>2</w:t>
      </w:r>
      <w:r>
        <w:rPr>
          <w:rFonts w:hint="eastAsia"/>
          <w:bCs/>
        </w:rPr>
        <w:t>组包括与核紧张局势直接相关的词语；第</w:t>
      </w:r>
      <w:r>
        <w:rPr>
          <w:rFonts w:hint="eastAsia"/>
          <w:bCs/>
        </w:rPr>
        <w:t>3</w:t>
      </w:r>
      <w:r>
        <w:rPr>
          <w:rFonts w:hint="eastAsia"/>
          <w:bCs/>
        </w:rPr>
        <w:t>组和第</w:t>
      </w:r>
      <w:r>
        <w:rPr>
          <w:rFonts w:hint="eastAsia"/>
          <w:bCs/>
        </w:rPr>
        <w:t>4</w:t>
      </w:r>
      <w:r>
        <w:rPr>
          <w:rFonts w:hint="eastAsia"/>
          <w:bCs/>
        </w:rPr>
        <w:t>组包括涉及战争威胁和恐怖主义威胁的词语；第</w:t>
      </w:r>
      <w:r>
        <w:rPr>
          <w:rFonts w:hint="eastAsia"/>
          <w:bCs/>
        </w:rPr>
        <w:t>5</w:t>
      </w:r>
      <w:r>
        <w:rPr>
          <w:rFonts w:hint="eastAsia"/>
          <w:bCs/>
        </w:rPr>
        <w:t>组和第</w:t>
      </w:r>
      <w:r>
        <w:rPr>
          <w:rFonts w:hint="eastAsia"/>
          <w:bCs/>
        </w:rPr>
        <w:t>6</w:t>
      </w:r>
      <w:r>
        <w:rPr>
          <w:rFonts w:hint="eastAsia"/>
          <w:bCs/>
        </w:rPr>
        <w:t>组包括新闻界对实际不利地缘政治事件的报道。在海湾战争前后、</w:t>
      </w:r>
      <w:r>
        <w:rPr>
          <w:rFonts w:hint="eastAsia"/>
          <w:bCs/>
        </w:rPr>
        <w:t>9/11</w:t>
      </w:r>
      <w:r>
        <w:rPr>
          <w:rFonts w:hint="eastAsia"/>
          <w:bCs/>
        </w:rPr>
        <w:t>事件之后、</w:t>
      </w:r>
      <w:r>
        <w:rPr>
          <w:rFonts w:hint="eastAsia"/>
          <w:bCs/>
        </w:rPr>
        <w:t>2003</w:t>
      </w:r>
      <w:r>
        <w:rPr>
          <w:rFonts w:hint="eastAsia"/>
          <w:bCs/>
        </w:rPr>
        <w:t>年伊拉克战争期间、</w:t>
      </w:r>
      <w:r>
        <w:rPr>
          <w:rFonts w:hint="eastAsia"/>
          <w:bCs/>
        </w:rPr>
        <w:t>2014</w:t>
      </w:r>
      <w:r>
        <w:rPr>
          <w:rFonts w:hint="eastAsia"/>
          <w:bCs/>
        </w:rPr>
        <w:t>年俄罗斯</w:t>
      </w:r>
      <w:r>
        <w:rPr>
          <w:rFonts w:hint="eastAsia"/>
          <w:bCs/>
        </w:rPr>
        <w:t>-</w:t>
      </w:r>
      <w:r>
        <w:rPr>
          <w:rFonts w:hint="eastAsia"/>
          <w:bCs/>
        </w:rPr>
        <w:t>乌克兰危机期间和巴黎恐怖袭击之后，地缘政治风险指数大幅上升。地缘政治风险增加可能间接影响国际投资者放弃投资人民币资产，转而投资更为稳健的资产，进而使人民币贬值压力增大，而离岸人民币贬值幅度更大，导致</w:t>
      </w:r>
      <w:r>
        <w:rPr>
          <w:rFonts w:hint="eastAsia"/>
          <w:bCs/>
        </w:rPr>
        <w:t>CNY-CNH</w:t>
      </w:r>
      <w:r>
        <w:rPr>
          <w:rFonts w:hint="eastAsia"/>
          <w:bCs/>
        </w:rPr>
        <w:t>价差在数值上下行，并且波动性增强。</w:t>
      </w:r>
    </w:p>
    <w:p w14:paraId="6B0365D7" w14:textId="4492F5FB" w:rsidR="00405C52" w:rsidRDefault="00405C52">
      <w:pPr>
        <w:ind w:firstLine="420"/>
        <w:textAlignment w:val="center"/>
        <w:rPr>
          <w:bCs/>
        </w:rPr>
      </w:pPr>
      <w:r>
        <w:rPr>
          <w:rFonts w:hint="eastAsia"/>
          <w:bCs/>
        </w:rPr>
        <w:t>（</w:t>
      </w:r>
      <w:r>
        <w:rPr>
          <w:rFonts w:hint="eastAsia"/>
          <w:bCs/>
        </w:rPr>
        <w:t>3</w:t>
      </w:r>
      <w:r>
        <w:rPr>
          <w:rFonts w:hint="eastAsia"/>
          <w:bCs/>
        </w:rPr>
        <w:t>）投资者关注度</w:t>
      </w:r>
    </w:p>
    <w:p w14:paraId="1DF00AFF" w14:textId="2686E1DD" w:rsidR="002512D8" w:rsidRDefault="00424DD2">
      <w:pPr>
        <w:ind w:firstLine="420"/>
        <w:textAlignment w:val="center"/>
        <w:rPr>
          <w:bCs/>
        </w:rPr>
      </w:pPr>
      <w:r>
        <w:rPr>
          <w:rFonts w:hint="eastAsia"/>
          <w:bCs/>
        </w:rPr>
        <w:t>国内投资者关注度</w:t>
      </w:r>
      <w:r>
        <w:rPr>
          <w:rFonts w:hint="eastAsia"/>
          <w:bCs/>
        </w:rPr>
        <w:t>CNH-Baidu</w:t>
      </w:r>
      <w:r>
        <w:rPr>
          <w:rFonts w:hint="eastAsia"/>
          <w:bCs/>
        </w:rPr>
        <w:t>。国内投资者关注度</w:t>
      </w:r>
      <w:r w:rsidR="00051C85">
        <w:rPr>
          <w:rFonts w:hint="eastAsia"/>
          <w:bCs/>
        </w:rPr>
        <w:t>包含的关键词</w:t>
      </w:r>
      <w:r>
        <w:rPr>
          <w:rFonts w:hint="eastAsia"/>
          <w:bCs/>
        </w:rPr>
        <w:t>由百度指数</w:t>
      </w:r>
      <w:r>
        <w:rPr>
          <w:rFonts w:hint="eastAsia"/>
          <w:bCs/>
        </w:rPr>
        <w:t>CNH</w:t>
      </w:r>
      <w:r>
        <w:rPr>
          <w:rFonts w:hint="eastAsia"/>
          <w:bCs/>
        </w:rPr>
        <w:t>构成，反映了国内投资者对离岸人民币的关注程度，百度指数</w:t>
      </w:r>
      <w:r>
        <w:rPr>
          <w:rFonts w:hint="eastAsia"/>
          <w:bCs/>
        </w:rPr>
        <w:t>CNH</w:t>
      </w:r>
      <w:r>
        <w:rPr>
          <w:rFonts w:hint="eastAsia"/>
          <w:bCs/>
        </w:rPr>
        <w:t>越大代表国内投资者关注度越高。国内投资者关注度越大，</w:t>
      </w:r>
      <w:r>
        <w:rPr>
          <w:rFonts w:hint="eastAsia"/>
          <w:bCs/>
        </w:rPr>
        <w:t>CNY-CNH</w:t>
      </w:r>
      <w:r>
        <w:rPr>
          <w:rFonts w:hint="eastAsia"/>
          <w:bCs/>
        </w:rPr>
        <w:t>价差越大，</w:t>
      </w:r>
      <w:r>
        <w:rPr>
          <w:rFonts w:hint="eastAsia"/>
          <w:bCs/>
        </w:rPr>
        <w:t>CNY-CNH</w:t>
      </w:r>
      <w:r>
        <w:rPr>
          <w:rFonts w:hint="eastAsia"/>
          <w:bCs/>
        </w:rPr>
        <w:t>价差波动越剧烈。这是因为投资者主动搜集离岸人民币市场信息，具有买入或者卖出倾向，会导致</w:t>
      </w:r>
      <w:r>
        <w:rPr>
          <w:rFonts w:hint="eastAsia"/>
          <w:bCs/>
        </w:rPr>
        <w:t>CNY-CNH</w:t>
      </w:r>
      <w:r>
        <w:rPr>
          <w:rFonts w:hint="eastAsia"/>
          <w:bCs/>
        </w:rPr>
        <w:t>价差波动增加。</w:t>
      </w:r>
    </w:p>
    <w:p w14:paraId="1CE28D2A" w14:textId="5EAA3FC3" w:rsidR="002512D8" w:rsidRDefault="00424DD2">
      <w:pPr>
        <w:ind w:firstLine="420"/>
        <w:textAlignment w:val="center"/>
        <w:rPr>
          <w:bCs/>
        </w:rPr>
      </w:pPr>
      <w:r>
        <w:rPr>
          <w:rFonts w:hint="eastAsia"/>
          <w:bCs/>
        </w:rPr>
        <w:t>国际投资者关注度</w:t>
      </w:r>
      <w:r>
        <w:rPr>
          <w:rFonts w:hint="eastAsia"/>
          <w:bCs/>
        </w:rPr>
        <w:t>CNH-Google</w:t>
      </w:r>
      <w:r>
        <w:rPr>
          <w:rFonts w:hint="eastAsia"/>
          <w:bCs/>
        </w:rPr>
        <w:t>。国际投资者关注度</w:t>
      </w:r>
      <w:r w:rsidR="00051C85">
        <w:rPr>
          <w:rFonts w:hint="eastAsia"/>
          <w:bCs/>
        </w:rPr>
        <w:t>包含的关键词</w:t>
      </w:r>
      <w:r>
        <w:rPr>
          <w:rFonts w:hint="eastAsia"/>
          <w:bCs/>
        </w:rPr>
        <w:t>由谷歌趋势</w:t>
      </w:r>
      <w:r>
        <w:rPr>
          <w:rFonts w:hint="eastAsia"/>
          <w:bCs/>
        </w:rPr>
        <w:t>CNH</w:t>
      </w:r>
      <w:r>
        <w:rPr>
          <w:rFonts w:hint="eastAsia"/>
          <w:bCs/>
        </w:rPr>
        <w:t>构成，反映了国际投资者对离岸人民币的关注程度。国际投资者关注度区别于国内投资者关注度，前者反映了国际投资者对人民币的关注而后者反映了国内投资者对人民币的关注。国际投资者关注度越大，</w:t>
      </w:r>
      <w:r>
        <w:rPr>
          <w:rFonts w:hint="eastAsia"/>
          <w:bCs/>
        </w:rPr>
        <w:t>CNY-CNH</w:t>
      </w:r>
      <w:r>
        <w:rPr>
          <w:rFonts w:hint="eastAsia"/>
          <w:bCs/>
        </w:rPr>
        <w:t>价差波动越剧烈。</w:t>
      </w:r>
    </w:p>
    <w:p w14:paraId="3A4E4466" w14:textId="1C786289" w:rsidR="002512D8" w:rsidRDefault="00424DD2">
      <w:pPr>
        <w:ind w:firstLine="420"/>
        <w:textAlignment w:val="center"/>
        <w:rPr>
          <w:bCs/>
        </w:rPr>
      </w:pPr>
      <w:r>
        <w:rPr>
          <w:rFonts w:hint="eastAsia"/>
          <w:bCs/>
        </w:rPr>
        <w:t>（</w:t>
      </w:r>
      <w:r w:rsidR="00405C52">
        <w:rPr>
          <w:bCs/>
        </w:rPr>
        <w:t>4</w:t>
      </w:r>
      <w:r>
        <w:rPr>
          <w:rFonts w:hint="eastAsia"/>
          <w:bCs/>
        </w:rPr>
        <w:t>）政策变量</w:t>
      </w:r>
    </w:p>
    <w:p w14:paraId="67A2C31C" w14:textId="5C81395E" w:rsidR="002512D8" w:rsidRDefault="00424DD2">
      <w:pPr>
        <w:ind w:firstLine="420"/>
        <w:textAlignment w:val="center"/>
        <w:rPr>
          <w:bCs/>
        </w:rPr>
      </w:pPr>
      <w:r>
        <w:rPr>
          <w:rFonts w:hint="eastAsia"/>
          <w:bCs/>
        </w:rPr>
        <w:t>人民币兑美元汇率中间价机制改革虚拟变量</w:t>
      </w:r>
      <w:r>
        <w:rPr>
          <w:rFonts w:hint="eastAsia"/>
          <w:bCs/>
        </w:rPr>
        <w:t>X1</w:t>
      </w:r>
      <w:r>
        <w:rPr>
          <w:rFonts w:hint="eastAsia"/>
          <w:bCs/>
        </w:rPr>
        <w:t>。改革出现使得在岸外汇市场更加市场化，有利于促进</w:t>
      </w:r>
      <w:r>
        <w:rPr>
          <w:rFonts w:hint="eastAsia"/>
          <w:bCs/>
        </w:rPr>
        <w:t>CNY</w:t>
      </w:r>
      <w:r>
        <w:rPr>
          <w:rFonts w:hint="eastAsia"/>
          <w:bCs/>
        </w:rPr>
        <w:t>和</w:t>
      </w:r>
      <w:r>
        <w:rPr>
          <w:rFonts w:hint="eastAsia"/>
          <w:bCs/>
        </w:rPr>
        <w:t>CNH</w:t>
      </w:r>
      <w:r>
        <w:rPr>
          <w:rFonts w:hint="eastAsia"/>
          <w:bCs/>
        </w:rPr>
        <w:t>两个市场一体化，从而</w:t>
      </w:r>
      <w:r>
        <w:rPr>
          <w:rFonts w:hint="eastAsia"/>
          <w:bCs/>
        </w:rPr>
        <w:t>CNY-CNH</w:t>
      </w:r>
      <w:r>
        <w:rPr>
          <w:rFonts w:hint="eastAsia"/>
          <w:bCs/>
        </w:rPr>
        <w:t>价差波动越剧烈。</w:t>
      </w:r>
    </w:p>
    <w:p w14:paraId="6A240301" w14:textId="77777777" w:rsidR="002512D8" w:rsidRPr="001A286F" w:rsidRDefault="00424DD2">
      <w:pPr>
        <w:spacing w:line="360" w:lineRule="exact"/>
        <w:ind w:firstLine="420"/>
        <w:jc w:val="center"/>
        <w:rPr>
          <w:rFonts w:ascii="黑体" w:eastAsia="黑体" w:hAnsi="黑体"/>
          <w:bCs/>
        </w:rPr>
      </w:pPr>
      <w:r w:rsidRPr="001A286F">
        <w:rPr>
          <w:rFonts w:ascii="黑体" w:eastAsia="黑体" w:hAnsi="黑体" w:hint="eastAsia"/>
          <w:bCs/>
        </w:rPr>
        <w:t>表1 人民币兑美元汇率中间价机制改革</w:t>
      </w:r>
    </w:p>
    <w:tbl>
      <w:tblPr>
        <w:tblStyle w:val="a3"/>
        <w:tblW w:w="485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1163"/>
        <w:gridCol w:w="6042"/>
      </w:tblGrid>
      <w:tr w:rsidR="002512D8" w14:paraId="701E2AB3" w14:textId="77777777" w:rsidTr="00AF5534">
        <w:tc>
          <w:tcPr>
            <w:tcW w:w="532" w:type="pct"/>
            <w:tcBorders>
              <w:top w:val="single" w:sz="12" w:space="0" w:color="auto"/>
              <w:bottom w:val="single" w:sz="8" w:space="0" w:color="auto"/>
            </w:tcBorders>
            <w:vAlign w:val="center"/>
          </w:tcPr>
          <w:p w14:paraId="0294248B" w14:textId="77777777" w:rsidR="002512D8" w:rsidRDefault="00424DD2" w:rsidP="001A286F">
            <w:pPr>
              <w:spacing w:line="240" w:lineRule="exact"/>
              <w:ind w:firstLineChars="0" w:firstLine="0"/>
              <w:jc w:val="center"/>
              <w:rPr>
                <w:bCs/>
              </w:rPr>
            </w:pPr>
            <w:r>
              <w:rPr>
                <w:rFonts w:hint="eastAsia"/>
                <w:bCs/>
              </w:rPr>
              <w:t>变量</w:t>
            </w:r>
          </w:p>
        </w:tc>
        <w:tc>
          <w:tcPr>
            <w:tcW w:w="721" w:type="pct"/>
            <w:tcBorders>
              <w:top w:val="single" w:sz="12" w:space="0" w:color="auto"/>
              <w:bottom w:val="single" w:sz="8" w:space="0" w:color="auto"/>
            </w:tcBorders>
            <w:vAlign w:val="center"/>
          </w:tcPr>
          <w:p w14:paraId="084AA08C" w14:textId="77777777" w:rsidR="002512D8" w:rsidRDefault="00424DD2" w:rsidP="001A286F">
            <w:pPr>
              <w:spacing w:line="240" w:lineRule="exact"/>
              <w:ind w:firstLineChars="0" w:firstLine="0"/>
              <w:jc w:val="center"/>
              <w:rPr>
                <w:bCs/>
              </w:rPr>
            </w:pPr>
            <w:r>
              <w:rPr>
                <w:rFonts w:hint="eastAsia"/>
                <w:bCs/>
              </w:rPr>
              <w:t>时间</w:t>
            </w:r>
          </w:p>
        </w:tc>
        <w:tc>
          <w:tcPr>
            <w:tcW w:w="3746" w:type="pct"/>
            <w:tcBorders>
              <w:top w:val="single" w:sz="12" w:space="0" w:color="auto"/>
              <w:bottom w:val="single" w:sz="8" w:space="0" w:color="auto"/>
            </w:tcBorders>
            <w:vAlign w:val="center"/>
          </w:tcPr>
          <w:p w14:paraId="31FDC93E" w14:textId="77777777" w:rsidR="002512D8" w:rsidRDefault="00424DD2" w:rsidP="001A286F">
            <w:pPr>
              <w:spacing w:line="240" w:lineRule="exact"/>
              <w:ind w:firstLineChars="0" w:firstLine="0"/>
              <w:jc w:val="center"/>
              <w:rPr>
                <w:bCs/>
              </w:rPr>
            </w:pPr>
            <w:r>
              <w:rPr>
                <w:rFonts w:hint="eastAsia"/>
                <w:bCs/>
              </w:rPr>
              <w:t>政策</w:t>
            </w:r>
          </w:p>
        </w:tc>
      </w:tr>
      <w:tr w:rsidR="002512D8" w14:paraId="6A06B135" w14:textId="77777777" w:rsidTr="00AF5534">
        <w:tc>
          <w:tcPr>
            <w:tcW w:w="532" w:type="pct"/>
            <w:vMerge w:val="restart"/>
            <w:tcBorders>
              <w:top w:val="single" w:sz="4" w:space="0" w:color="auto"/>
            </w:tcBorders>
            <w:vAlign w:val="center"/>
          </w:tcPr>
          <w:p w14:paraId="50590827" w14:textId="77777777" w:rsidR="002512D8" w:rsidRDefault="00424DD2" w:rsidP="001A286F">
            <w:pPr>
              <w:spacing w:line="240" w:lineRule="exact"/>
              <w:ind w:firstLineChars="0" w:firstLine="0"/>
              <w:jc w:val="center"/>
              <w:rPr>
                <w:bCs/>
              </w:rPr>
            </w:pPr>
            <w:r>
              <w:rPr>
                <w:rFonts w:hint="eastAsia"/>
                <w:bCs/>
              </w:rPr>
              <w:t>CPR</w:t>
            </w:r>
          </w:p>
        </w:tc>
        <w:tc>
          <w:tcPr>
            <w:tcW w:w="721" w:type="pct"/>
            <w:tcBorders>
              <w:top w:val="single" w:sz="4" w:space="0" w:color="auto"/>
            </w:tcBorders>
            <w:vAlign w:val="center"/>
          </w:tcPr>
          <w:p w14:paraId="029AB0CA" w14:textId="77777777" w:rsidR="002512D8" w:rsidRDefault="00424DD2" w:rsidP="001A286F">
            <w:pPr>
              <w:spacing w:line="240" w:lineRule="exact"/>
              <w:ind w:firstLineChars="0" w:firstLine="0"/>
              <w:jc w:val="center"/>
              <w:rPr>
                <w:bCs/>
              </w:rPr>
            </w:pPr>
            <w:r>
              <w:rPr>
                <w:rFonts w:hint="eastAsia"/>
                <w:bCs/>
              </w:rPr>
              <w:t>2015.8.11</w:t>
            </w:r>
          </w:p>
        </w:tc>
        <w:tc>
          <w:tcPr>
            <w:tcW w:w="3746" w:type="pct"/>
            <w:tcBorders>
              <w:top w:val="single" w:sz="4" w:space="0" w:color="auto"/>
            </w:tcBorders>
            <w:vAlign w:val="center"/>
          </w:tcPr>
          <w:p w14:paraId="037CE916" w14:textId="77777777" w:rsidR="002512D8" w:rsidRDefault="00424DD2" w:rsidP="001A286F">
            <w:pPr>
              <w:spacing w:line="240" w:lineRule="exact"/>
              <w:ind w:firstLineChars="0" w:firstLine="0"/>
              <w:jc w:val="center"/>
              <w:rPr>
                <w:bCs/>
              </w:rPr>
            </w:pPr>
            <w:r>
              <w:rPr>
                <w:rFonts w:hint="eastAsia"/>
                <w:bCs/>
              </w:rPr>
              <w:t>人民银行完善人民币中间价形成机制</w:t>
            </w:r>
          </w:p>
        </w:tc>
      </w:tr>
      <w:tr w:rsidR="002512D8" w14:paraId="487C1DE9" w14:textId="77777777">
        <w:tc>
          <w:tcPr>
            <w:tcW w:w="532" w:type="pct"/>
            <w:vMerge/>
            <w:vAlign w:val="center"/>
          </w:tcPr>
          <w:p w14:paraId="1DC92247" w14:textId="77777777" w:rsidR="002512D8" w:rsidRDefault="002512D8" w:rsidP="001A286F">
            <w:pPr>
              <w:spacing w:line="240" w:lineRule="exact"/>
              <w:ind w:firstLineChars="0" w:firstLine="0"/>
              <w:jc w:val="center"/>
              <w:rPr>
                <w:bCs/>
              </w:rPr>
            </w:pPr>
          </w:p>
        </w:tc>
        <w:tc>
          <w:tcPr>
            <w:tcW w:w="721" w:type="pct"/>
            <w:vAlign w:val="center"/>
          </w:tcPr>
          <w:p w14:paraId="4834B4CA" w14:textId="77777777" w:rsidR="002512D8" w:rsidRDefault="00424DD2" w:rsidP="001A286F">
            <w:pPr>
              <w:spacing w:line="240" w:lineRule="exact"/>
              <w:ind w:firstLineChars="0" w:firstLine="0"/>
              <w:jc w:val="center"/>
              <w:rPr>
                <w:bCs/>
              </w:rPr>
            </w:pPr>
            <w:r>
              <w:rPr>
                <w:rFonts w:hint="eastAsia"/>
                <w:bCs/>
              </w:rPr>
              <w:t>2018.8.24</w:t>
            </w:r>
          </w:p>
        </w:tc>
        <w:tc>
          <w:tcPr>
            <w:tcW w:w="3746" w:type="pct"/>
            <w:vAlign w:val="center"/>
          </w:tcPr>
          <w:p w14:paraId="29088FA9" w14:textId="77777777" w:rsidR="002512D8" w:rsidRDefault="00424DD2" w:rsidP="001A286F">
            <w:pPr>
              <w:spacing w:line="240" w:lineRule="exact"/>
              <w:ind w:firstLineChars="0" w:firstLine="0"/>
              <w:jc w:val="center"/>
              <w:rPr>
                <w:bCs/>
              </w:rPr>
            </w:pPr>
            <w:bookmarkStart w:id="0" w:name="OLE_LINK6"/>
            <w:r>
              <w:rPr>
                <w:rFonts w:hint="eastAsia"/>
                <w:bCs/>
              </w:rPr>
              <w:t>人民币兑美元中间价报价重启“逆周期因子”</w:t>
            </w:r>
            <w:bookmarkEnd w:id="0"/>
          </w:p>
        </w:tc>
      </w:tr>
      <w:tr w:rsidR="002512D8" w14:paraId="36A8AF3F" w14:textId="77777777" w:rsidTr="00AF5534">
        <w:tc>
          <w:tcPr>
            <w:tcW w:w="532" w:type="pct"/>
            <w:vMerge/>
            <w:tcBorders>
              <w:bottom w:val="single" w:sz="12" w:space="0" w:color="auto"/>
            </w:tcBorders>
            <w:vAlign w:val="center"/>
          </w:tcPr>
          <w:p w14:paraId="5C94537A" w14:textId="77777777" w:rsidR="002512D8" w:rsidRDefault="002512D8" w:rsidP="001A286F">
            <w:pPr>
              <w:spacing w:line="240" w:lineRule="exact"/>
              <w:ind w:firstLineChars="0" w:firstLine="0"/>
              <w:jc w:val="center"/>
              <w:rPr>
                <w:bCs/>
              </w:rPr>
            </w:pPr>
          </w:p>
        </w:tc>
        <w:tc>
          <w:tcPr>
            <w:tcW w:w="721" w:type="pct"/>
            <w:tcBorders>
              <w:bottom w:val="single" w:sz="12" w:space="0" w:color="auto"/>
            </w:tcBorders>
            <w:vAlign w:val="center"/>
          </w:tcPr>
          <w:p w14:paraId="4153555F" w14:textId="77777777" w:rsidR="002512D8" w:rsidRDefault="00424DD2" w:rsidP="001A286F">
            <w:pPr>
              <w:spacing w:line="240" w:lineRule="exact"/>
              <w:ind w:firstLineChars="0" w:firstLine="0"/>
              <w:jc w:val="center"/>
              <w:rPr>
                <w:bCs/>
              </w:rPr>
            </w:pPr>
            <w:r>
              <w:rPr>
                <w:rFonts w:hint="eastAsia"/>
                <w:bCs/>
              </w:rPr>
              <w:t>2020.10.27</w:t>
            </w:r>
          </w:p>
        </w:tc>
        <w:tc>
          <w:tcPr>
            <w:tcW w:w="3746" w:type="pct"/>
            <w:tcBorders>
              <w:bottom w:val="single" w:sz="12" w:space="0" w:color="auto"/>
            </w:tcBorders>
            <w:vAlign w:val="center"/>
          </w:tcPr>
          <w:p w14:paraId="34FF067D" w14:textId="77777777" w:rsidR="002512D8" w:rsidRDefault="00424DD2" w:rsidP="001A286F">
            <w:pPr>
              <w:spacing w:line="240" w:lineRule="exact"/>
              <w:ind w:firstLineChars="0" w:firstLine="0"/>
              <w:jc w:val="center"/>
              <w:rPr>
                <w:bCs/>
              </w:rPr>
            </w:pPr>
            <w:r>
              <w:rPr>
                <w:rFonts w:hint="eastAsia"/>
                <w:bCs/>
              </w:rPr>
              <w:t>部分报价行将人民币对美元中间价中的逆周期因子淡出使用</w:t>
            </w:r>
          </w:p>
        </w:tc>
      </w:tr>
    </w:tbl>
    <w:p w14:paraId="0057C275" w14:textId="77777777" w:rsidR="002512D8" w:rsidRPr="001A286F" w:rsidRDefault="00424DD2" w:rsidP="001A286F">
      <w:pPr>
        <w:spacing w:after="100" w:line="360" w:lineRule="exact"/>
        <w:ind w:firstLine="300"/>
        <w:rPr>
          <w:bCs/>
          <w:sz w:val="15"/>
          <w:szCs w:val="15"/>
        </w:rPr>
      </w:pPr>
      <w:r w:rsidRPr="001A286F">
        <w:rPr>
          <w:rFonts w:hint="eastAsia"/>
          <w:bCs/>
          <w:sz w:val="15"/>
          <w:szCs w:val="15"/>
        </w:rPr>
        <w:t>资料来源：笔者根据中国人民银行网站资料整理</w:t>
      </w:r>
    </w:p>
    <w:p w14:paraId="41CBA951" w14:textId="5C910292" w:rsidR="002512D8" w:rsidRDefault="00424DD2">
      <w:pPr>
        <w:ind w:firstLine="420"/>
        <w:textAlignment w:val="center"/>
        <w:rPr>
          <w:bCs/>
        </w:rPr>
      </w:pPr>
      <w:r>
        <w:rPr>
          <w:rFonts w:hint="eastAsia"/>
          <w:bCs/>
        </w:rPr>
        <w:t>人民币国际化进程虚拟变量</w:t>
      </w:r>
      <w:r>
        <w:rPr>
          <w:rFonts w:hint="eastAsia"/>
          <w:bCs/>
        </w:rPr>
        <w:t>X2</w:t>
      </w:r>
      <w:r>
        <w:rPr>
          <w:rFonts w:hint="eastAsia"/>
          <w:bCs/>
        </w:rPr>
        <w:t>。人民币国际化带来了一个活跃的离岸市场。随着人民币国际化进程的逐步发展，</w:t>
      </w:r>
      <w:r>
        <w:rPr>
          <w:rFonts w:hint="eastAsia"/>
          <w:bCs/>
        </w:rPr>
        <w:t>CNY-CNH</w:t>
      </w:r>
      <w:r>
        <w:rPr>
          <w:rFonts w:hint="eastAsia"/>
          <w:bCs/>
        </w:rPr>
        <w:t>价差的波动逐步加剧。</w:t>
      </w:r>
    </w:p>
    <w:p w14:paraId="3C6C8B02" w14:textId="77777777" w:rsidR="001A286F" w:rsidRDefault="001A286F">
      <w:pPr>
        <w:tabs>
          <w:tab w:val="left" w:pos="1428"/>
        </w:tabs>
        <w:spacing w:line="360" w:lineRule="exact"/>
        <w:ind w:firstLine="420"/>
        <w:jc w:val="center"/>
        <w:rPr>
          <w:rFonts w:ascii="黑体" w:eastAsia="黑体" w:hAnsi="黑体"/>
          <w:bCs/>
        </w:rPr>
      </w:pPr>
    </w:p>
    <w:p w14:paraId="3D2B65B7" w14:textId="236A347E" w:rsidR="002512D8" w:rsidRPr="001A286F" w:rsidRDefault="00424DD2">
      <w:pPr>
        <w:tabs>
          <w:tab w:val="left" w:pos="1428"/>
        </w:tabs>
        <w:spacing w:line="360" w:lineRule="exact"/>
        <w:ind w:firstLine="420"/>
        <w:jc w:val="center"/>
        <w:rPr>
          <w:rFonts w:ascii="黑体" w:eastAsia="黑体" w:hAnsi="黑体"/>
          <w:bCs/>
        </w:rPr>
      </w:pPr>
      <w:r w:rsidRPr="001A286F">
        <w:rPr>
          <w:rFonts w:ascii="黑体" w:eastAsia="黑体" w:hAnsi="黑体" w:hint="eastAsia"/>
          <w:bCs/>
        </w:rPr>
        <w:lastRenderedPageBreak/>
        <w:t>表2 人民币国际化进程</w:t>
      </w:r>
    </w:p>
    <w:tbl>
      <w:tblPr>
        <w:tblStyle w:val="a3"/>
        <w:tblW w:w="0" w:type="auto"/>
        <w:tblInd w:w="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310"/>
        <w:gridCol w:w="5577"/>
      </w:tblGrid>
      <w:tr w:rsidR="002512D8" w14:paraId="79EBBE1D" w14:textId="77777777" w:rsidTr="00AF5534">
        <w:tc>
          <w:tcPr>
            <w:tcW w:w="1407" w:type="dxa"/>
            <w:tcBorders>
              <w:top w:val="single" w:sz="12" w:space="0" w:color="auto"/>
              <w:bottom w:val="single" w:sz="4" w:space="0" w:color="auto"/>
            </w:tcBorders>
            <w:vAlign w:val="center"/>
          </w:tcPr>
          <w:p w14:paraId="44E9E4D0" w14:textId="77777777" w:rsidR="002512D8" w:rsidRDefault="00424DD2" w:rsidP="001A286F">
            <w:pPr>
              <w:spacing w:line="240" w:lineRule="exact"/>
              <w:ind w:firstLineChars="0" w:firstLine="0"/>
              <w:jc w:val="center"/>
              <w:rPr>
                <w:bCs/>
              </w:rPr>
            </w:pPr>
            <w:r>
              <w:rPr>
                <w:rFonts w:hint="eastAsia"/>
                <w:bCs/>
              </w:rPr>
              <w:t>变量</w:t>
            </w:r>
          </w:p>
        </w:tc>
        <w:tc>
          <w:tcPr>
            <w:tcW w:w="1310" w:type="dxa"/>
            <w:tcBorders>
              <w:top w:val="single" w:sz="12" w:space="0" w:color="auto"/>
              <w:bottom w:val="single" w:sz="4" w:space="0" w:color="auto"/>
            </w:tcBorders>
            <w:vAlign w:val="center"/>
          </w:tcPr>
          <w:p w14:paraId="5BFBD667" w14:textId="77777777" w:rsidR="002512D8" w:rsidRDefault="00424DD2" w:rsidP="001A286F">
            <w:pPr>
              <w:spacing w:line="240" w:lineRule="exact"/>
              <w:ind w:firstLineChars="0" w:firstLine="0"/>
              <w:jc w:val="center"/>
              <w:rPr>
                <w:bCs/>
              </w:rPr>
            </w:pPr>
            <w:r>
              <w:rPr>
                <w:rFonts w:hint="eastAsia"/>
                <w:bCs/>
              </w:rPr>
              <w:t>时间</w:t>
            </w:r>
          </w:p>
        </w:tc>
        <w:tc>
          <w:tcPr>
            <w:tcW w:w="5577" w:type="dxa"/>
            <w:tcBorders>
              <w:top w:val="single" w:sz="12" w:space="0" w:color="auto"/>
              <w:bottom w:val="single" w:sz="4" w:space="0" w:color="auto"/>
            </w:tcBorders>
            <w:vAlign w:val="center"/>
          </w:tcPr>
          <w:p w14:paraId="675D1B43" w14:textId="77777777" w:rsidR="002512D8" w:rsidRDefault="00424DD2" w:rsidP="001A286F">
            <w:pPr>
              <w:spacing w:line="240" w:lineRule="exact"/>
              <w:ind w:firstLineChars="0" w:firstLine="0"/>
              <w:jc w:val="center"/>
              <w:rPr>
                <w:bCs/>
              </w:rPr>
            </w:pPr>
            <w:r>
              <w:rPr>
                <w:rFonts w:hint="eastAsia"/>
                <w:bCs/>
              </w:rPr>
              <w:t>政策</w:t>
            </w:r>
          </w:p>
        </w:tc>
      </w:tr>
      <w:tr w:rsidR="002512D8" w14:paraId="1353ED21" w14:textId="77777777" w:rsidTr="00AF5534">
        <w:tc>
          <w:tcPr>
            <w:tcW w:w="1407" w:type="dxa"/>
            <w:vMerge w:val="restart"/>
            <w:tcBorders>
              <w:top w:val="single" w:sz="4" w:space="0" w:color="auto"/>
            </w:tcBorders>
            <w:vAlign w:val="center"/>
          </w:tcPr>
          <w:p w14:paraId="63E96A80" w14:textId="77777777" w:rsidR="002512D8" w:rsidRDefault="00424DD2" w:rsidP="001A286F">
            <w:pPr>
              <w:spacing w:line="240" w:lineRule="exact"/>
              <w:ind w:firstLineChars="0" w:firstLine="0"/>
              <w:jc w:val="center"/>
              <w:rPr>
                <w:bCs/>
              </w:rPr>
            </w:pPr>
            <w:r>
              <w:rPr>
                <w:rFonts w:hint="eastAsia"/>
                <w:bCs/>
              </w:rPr>
              <w:t>SDR</w:t>
            </w:r>
          </w:p>
        </w:tc>
        <w:tc>
          <w:tcPr>
            <w:tcW w:w="1310" w:type="dxa"/>
            <w:tcBorders>
              <w:top w:val="single" w:sz="4" w:space="0" w:color="auto"/>
            </w:tcBorders>
            <w:vAlign w:val="center"/>
          </w:tcPr>
          <w:p w14:paraId="0CA79608" w14:textId="77777777" w:rsidR="002512D8" w:rsidRDefault="00424DD2" w:rsidP="001A286F">
            <w:pPr>
              <w:spacing w:line="240" w:lineRule="exact"/>
              <w:ind w:firstLineChars="0" w:firstLine="0"/>
              <w:jc w:val="center"/>
              <w:rPr>
                <w:bCs/>
              </w:rPr>
            </w:pPr>
            <w:r>
              <w:rPr>
                <w:rFonts w:hint="eastAsia"/>
                <w:bCs/>
              </w:rPr>
              <w:t>2015.12.1</w:t>
            </w:r>
          </w:p>
        </w:tc>
        <w:tc>
          <w:tcPr>
            <w:tcW w:w="5577" w:type="dxa"/>
            <w:tcBorders>
              <w:top w:val="single" w:sz="4" w:space="0" w:color="auto"/>
            </w:tcBorders>
            <w:vAlign w:val="center"/>
          </w:tcPr>
          <w:p w14:paraId="1433691B" w14:textId="77777777" w:rsidR="002512D8" w:rsidRDefault="00424DD2" w:rsidP="001A286F">
            <w:pPr>
              <w:spacing w:line="240" w:lineRule="exact"/>
              <w:ind w:firstLineChars="0" w:firstLine="0"/>
              <w:jc w:val="center"/>
              <w:rPr>
                <w:bCs/>
              </w:rPr>
            </w:pPr>
            <w:r>
              <w:rPr>
                <w:rFonts w:hint="eastAsia"/>
                <w:bCs/>
              </w:rPr>
              <w:t>人民币加入</w:t>
            </w:r>
            <w:r>
              <w:rPr>
                <w:rFonts w:hint="eastAsia"/>
                <w:bCs/>
              </w:rPr>
              <w:t>IMF</w:t>
            </w:r>
            <w:r>
              <w:rPr>
                <w:rFonts w:hint="eastAsia"/>
                <w:bCs/>
              </w:rPr>
              <w:t>特别提款权（</w:t>
            </w:r>
            <w:r>
              <w:rPr>
                <w:rFonts w:hint="eastAsia"/>
                <w:bCs/>
              </w:rPr>
              <w:t>SDR</w:t>
            </w:r>
            <w:r>
              <w:rPr>
                <w:rFonts w:hint="eastAsia"/>
                <w:bCs/>
              </w:rPr>
              <w:t>）货币篮子</w:t>
            </w:r>
          </w:p>
        </w:tc>
      </w:tr>
      <w:tr w:rsidR="002512D8" w14:paraId="3C6E52D6" w14:textId="77777777" w:rsidTr="00AF5534">
        <w:tc>
          <w:tcPr>
            <w:tcW w:w="1407" w:type="dxa"/>
            <w:vMerge/>
            <w:tcBorders>
              <w:bottom w:val="single" w:sz="12" w:space="0" w:color="auto"/>
            </w:tcBorders>
            <w:vAlign w:val="center"/>
          </w:tcPr>
          <w:p w14:paraId="15BCC6EF" w14:textId="77777777" w:rsidR="002512D8" w:rsidRDefault="002512D8" w:rsidP="001A286F">
            <w:pPr>
              <w:spacing w:line="240" w:lineRule="exact"/>
              <w:ind w:firstLineChars="0" w:firstLine="0"/>
              <w:jc w:val="center"/>
              <w:rPr>
                <w:bCs/>
              </w:rPr>
            </w:pPr>
          </w:p>
        </w:tc>
        <w:tc>
          <w:tcPr>
            <w:tcW w:w="1310" w:type="dxa"/>
            <w:tcBorders>
              <w:bottom w:val="single" w:sz="12" w:space="0" w:color="auto"/>
            </w:tcBorders>
            <w:vAlign w:val="center"/>
          </w:tcPr>
          <w:p w14:paraId="06287E4B" w14:textId="77777777" w:rsidR="002512D8" w:rsidRDefault="00424DD2" w:rsidP="001A286F">
            <w:pPr>
              <w:spacing w:line="240" w:lineRule="exact"/>
              <w:ind w:firstLineChars="0" w:firstLine="0"/>
              <w:jc w:val="center"/>
              <w:rPr>
                <w:bCs/>
              </w:rPr>
            </w:pPr>
            <w:r>
              <w:rPr>
                <w:rFonts w:hint="eastAsia"/>
                <w:bCs/>
              </w:rPr>
              <w:t>2016.10.1</w:t>
            </w:r>
          </w:p>
        </w:tc>
        <w:tc>
          <w:tcPr>
            <w:tcW w:w="5577" w:type="dxa"/>
            <w:tcBorders>
              <w:bottom w:val="single" w:sz="12" w:space="0" w:color="auto"/>
            </w:tcBorders>
            <w:vAlign w:val="center"/>
          </w:tcPr>
          <w:p w14:paraId="5A81B0F3" w14:textId="77777777" w:rsidR="002512D8" w:rsidRDefault="00424DD2" w:rsidP="001A286F">
            <w:pPr>
              <w:spacing w:line="240" w:lineRule="exact"/>
              <w:ind w:firstLineChars="0" w:firstLine="0"/>
              <w:jc w:val="center"/>
              <w:rPr>
                <w:bCs/>
              </w:rPr>
            </w:pPr>
            <w:r>
              <w:rPr>
                <w:rFonts w:hint="eastAsia"/>
                <w:bCs/>
              </w:rPr>
              <w:t>人民币将正式加入国际货币基金组织特别提款权货币篮子</w:t>
            </w:r>
          </w:p>
        </w:tc>
      </w:tr>
    </w:tbl>
    <w:p w14:paraId="6F6CBF8B" w14:textId="6482C1E8" w:rsidR="002512D8" w:rsidRDefault="00424DD2" w:rsidP="001A286F">
      <w:pPr>
        <w:spacing w:after="100" w:line="360" w:lineRule="exact"/>
        <w:ind w:firstLine="300"/>
        <w:rPr>
          <w:bCs/>
          <w:sz w:val="15"/>
          <w:szCs w:val="15"/>
        </w:rPr>
      </w:pPr>
      <w:r w:rsidRPr="001A286F">
        <w:rPr>
          <w:rFonts w:hint="eastAsia"/>
          <w:bCs/>
          <w:sz w:val="15"/>
          <w:szCs w:val="15"/>
        </w:rPr>
        <w:t>资料来源：笔者根据中国人民银行网站资料整理</w:t>
      </w:r>
    </w:p>
    <w:p w14:paraId="0755DDAA" w14:textId="057951FB" w:rsidR="006E02F9" w:rsidRPr="006E02F9" w:rsidRDefault="006E02F9" w:rsidP="006E02F9">
      <w:pPr>
        <w:ind w:firstLine="420"/>
      </w:pPr>
      <w:r w:rsidRPr="009C7B14">
        <w:rPr>
          <w:rFonts w:hint="eastAsia"/>
        </w:rPr>
        <w:t>Chen</w:t>
      </w:r>
      <w:r w:rsidRPr="00856CDD">
        <w:t xml:space="preserve"> Yu-</w:t>
      </w:r>
      <w:proofErr w:type="spellStart"/>
      <w:r w:rsidRPr="00856CDD">
        <w:t>Lun</w:t>
      </w:r>
      <w:proofErr w:type="spellEnd"/>
      <w:r w:rsidRPr="00856CDD">
        <w:rPr>
          <w:rFonts w:hint="eastAsia"/>
        </w:rPr>
        <w:t xml:space="preserve"> </w:t>
      </w:r>
      <w:r w:rsidRPr="009C7B14">
        <w:rPr>
          <w:rFonts w:hint="eastAsia"/>
        </w:rPr>
        <w:t>(2021)</w:t>
      </w:r>
      <w:r>
        <w:rPr>
          <w:vertAlign w:val="superscript"/>
        </w:rPr>
        <w:t>[12]</w:t>
      </w:r>
      <w:r w:rsidRPr="009C7B14">
        <w:rPr>
          <w:rFonts w:hint="eastAsia"/>
        </w:rPr>
        <w:t>指出，人民币特别提款权（</w:t>
      </w:r>
      <w:r w:rsidRPr="009C7B14">
        <w:rPr>
          <w:rFonts w:hint="eastAsia"/>
        </w:rPr>
        <w:t>SDR</w:t>
      </w:r>
      <w:r w:rsidRPr="009C7B14">
        <w:rPr>
          <w:rFonts w:hint="eastAsia"/>
        </w:rPr>
        <w:t>）的增加会影响在岸与离岸市场的价格发现，监管较少的离岸汇率比在岸汇率更有利于价格发现，并且人民币特别提款权的增加提高了在岸与离岸两个市场的整体价格效率。</w:t>
      </w:r>
    </w:p>
    <w:p w14:paraId="39FD359A" w14:textId="1D6144F7" w:rsidR="002512D8" w:rsidRDefault="00AD3EF6" w:rsidP="001A286F">
      <w:pPr>
        <w:pStyle w:val="2"/>
      </w:pPr>
      <w:r>
        <w:rPr>
          <w:rFonts w:hint="eastAsia"/>
        </w:rPr>
        <w:t>（二）</w:t>
      </w:r>
      <w:r w:rsidR="00424DD2">
        <w:rPr>
          <w:rFonts w:hint="eastAsia"/>
        </w:rPr>
        <w:t>研究方法</w:t>
      </w:r>
    </w:p>
    <w:p w14:paraId="41FE2365" w14:textId="41854A66" w:rsidR="002512D8" w:rsidRDefault="00424DD2">
      <w:pPr>
        <w:ind w:firstLine="420"/>
        <w:rPr>
          <w:bCs/>
        </w:rPr>
      </w:pPr>
      <w:r>
        <w:rPr>
          <w:rFonts w:hint="eastAsia"/>
          <w:bCs/>
        </w:rPr>
        <w:t>GARCH-MIDAS</w:t>
      </w:r>
      <w:r>
        <w:rPr>
          <w:rFonts w:hint="eastAsia"/>
          <w:bCs/>
        </w:rPr>
        <w:t>模型将条件方差分解为短期和长期分量。前者是一个均值回复</w:t>
      </w:r>
      <w:r>
        <w:rPr>
          <w:rFonts w:hint="eastAsia"/>
          <w:bCs/>
        </w:rPr>
        <w:t>GARCH(1,1)</w:t>
      </w:r>
      <w:r>
        <w:rPr>
          <w:rFonts w:hint="eastAsia"/>
          <w:bCs/>
        </w:rPr>
        <w:t>过程，而后者由历史已实现波动率或者由</w:t>
      </w:r>
      <w:r>
        <w:rPr>
          <w:rFonts w:hint="eastAsia"/>
          <w:bCs/>
        </w:rPr>
        <w:t>MIDAS</w:t>
      </w:r>
      <w:r>
        <w:rPr>
          <w:rFonts w:hint="eastAsia"/>
          <w:bCs/>
        </w:rPr>
        <w:t>多项式加权的变量决定。首先</w:t>
      </w:r>
      <w:r w:rsidR="001A5390">
        <w:rPr>
          <w:rFonts w:hint="eastAsia"/>
          <w:bCs/>
        </w:rPr>
        <w:t>基于已实现波动</w:t>
      </w:r>
      <w:r w:rsidR="00AA4E68">
        <w:rPr>
          <w:rFonts w:hint="eastAsia"/>
          <w:bCs/>
        </w:rPr>
        <w:t>率的</w:t>
      </w:r>
      <w:r>
        <w:rPr>
          <w:rFonts w:hint="eastAsia"/>
          <w:bCs/>
        </w:rPr>
        <w:t>GARCH-MIDAS</w:t>
      </w:r>
      <w:r w:rsidR="00AA4E68">
        <w:rPr>
          <w:rFonts w:hint="eastAsia"/>
          <w:bCs/>
        </w:rPr>
        <w:t>模</w:t>
      </w:r>
      <w:r>
        <w:rPr>
          <w:rFonts w:hint="eastAsia"/>
          <w:bCs/>
        </w:rPr>
        <w:t>型公式如下：</w:t>
      </w:r>
    </w:p>
    <w:p w14:paraId="5C60CC39" w14:textId="14213A9F" w:rsidR="00402260" w:rsidRDefault="00FE3930" w:rsidP="00046775">
      <w:pPr>
        <w:autoSpaceDN w:val="0"/>
        <w:spacing w:line="240" w:lineRule="auto"/>
        <w:ind w:firstLine="420"/>
        <w:jc w:val="right"/>
        <w:textAlignment w:val="center"/>
        <w:rPr>
          <w:bCs/>
        </w:rPr>
      </w:pPr>
      <w:r>
        <w:rPr>
          <w:bCs/>
          <w:noProof/>
        </w:rPr>
        <w:drawing>
          <wp:inline distT="0" distB="0" distL="0" distR="0" wp14:anchorId="1EFC3DA9" wp14:editId="37856930">
            <wp:extent cx="2084705" cy="277495"/>
            <wp:effectExtent l="0" t="0" r="0" b="8255"/>
            <wp:docPr id="5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705" cy="277495"/>
                    </a:xfrm>
                    <a:prstGeom prst="rect">
                      <a:avLst/>
                    </a:prstGeom>
                    <a:noFill/>
                    <a:ln>
                      <a:noFill/>
                    </a:ln>
                  </pic:spPr>
                </pic:pic>
              </a:graphicData>
            </a:graphic>
          </wp:inline>
        </w:drawing>
      </w:r>
      <w:r w:rsidR="00402260">
        <w:rPr>
          <w:bCs/>
        </w:rPr>
        <w:t xml:space="preserve">                 </w:t>
      </w:r>
      <w:r w:rsidR="00402260">
        <w:rPr>
          <w:rFonts w:hint="eastAsia"/>
          <w:bCs/>
        </w:rPr>
        <w:t>（</w:t>
      </w:r>
      <w:r w:rsidR="00402260">
        <w:rPr>
          <w:rFonts w:hint="eastAsia"/>
          <w:bCs/>
        </w:rPr>
        <w:t>1</w:t>
      </w:r>
      <w:r w:rsidR="00402260">
        <w:rPr>
          <w:rFonts w:hint="eastAsia"/>
          <w:bCs/>
        </w:rPr>
        <w:t>）</w:t>
      </w:r>
    </w:p>
    <w:p w14:paraId="4DA0BA59" w14:textId="309275CD" w:rsidR="002512D8" w:rsidRDefault="00402260" w:rsidP="00402260">
      <w:pPr>
        <w:autoSpaceDN w:val="0"/>
        <w:spacing w:line="240" w:lineRule="auto"/>
        <w:ind w:firstLine="420"/>
        <w:jc w:val="right"/>
        <w:textAlignment w:val="baseline"/>
        <w:rPr>
          <w:bCs/>
        </w:rPr>
      </w:pPr>
      <w:r w:rsidRPr="00EC4D48">
        <w:rPr>
          <w:position w:val="-16"/>
        </w:rPr>
        <w:object w:dxaOrig="1700" w:dyaOrig="440" w14:anchorId="1A2C0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1.75pt" o:ole="">
            <v:imagedata r:id="rId18" o:title=""/>
          </v:shape>
          <o:OLEObject Type="Embed" ProgID="Equation.DSMT4" ShapeID="_x0000_i1025" DrawAspect="Content" ObjectID="_1712309853" r:id="rId19"/>
        </w:object>
      </w:r>
      <w:r w:rsidR="00424DD2">
        <w:rPr>
          <w:rFonts w:hint="eastAsia"/>
          <w:bCs/>
        </w:rPr>
        <w:t xml:space="preserve">      </w:t>
      </w:r>
      <w:r>
        <w:rPr>
          <w:bCs/>
        </w:rPr>
        <w:t xml:space="preserve">                 </w:t>
      </w:r>
      <w:r w:rsidR="00424DD2">
        <w:rPr>
          <w:rFonts w:hint="eastAsia"/>
          <w:bCs/>
        </w:rPr>
        <w:t xml:space="preserve"> </w:t>
      </w:r>
      <w:r w:rsidR="001A286F">
        <w:rPr>
          <w:bCs/>
        </w:rPr>
        <w:t xml:space="preserve">  </w:t>
      </w:r>
      <w:r>
        <w:rPr>
          <w:rFonts w:hint="eastAsia"/>
          <w:bCs/>
        </w:rPr>
        <w:t>（</w:t>
      </w:r>
      <w:r>
        <w:rPr>
          <w:rFonts w:hint="eastAsia"/>
          <w:bCs/>
        </w:rPr>
        <w:t>2</w:t>
      </w:r>
      <w:r>
        <w:rPr>
          <w:rFonts w:hint="eastAsia"/>
          <w:bCs/>
        </w:rPr>
        <w:t>）</w:t>
      </w:r>
      <w:r w:rsidR="00424DD2">
        <w:rPr>
          <w:rFonts w:hint="eastAsia"/>
          <w:bCs/>
        </w:rPr>
        <w:t xml:space="preserve">       </w:t>
      </w:r>
    </w:p>
    <w:p w14:paraId="2A19CE50" w14:textId="48EAA26E" w:rsidR="002512D8" w:rsidRDefault="001A5390" w:rsidP="00AA4E68">
      <w:pPr>
        <w:autoSpaceDN w:val="0"/>
        <w:spacing w:line="240" w:lineRule="auto"/>
        <w:ind w:firstLine="420"/>
        <w:jc w:val="right"/>
        <w:textAlignment w:val="baseline"/>
        <w:rPr>
          <w:bCs/>
        </w:rPr>
      </w:pPr>
      <w:r w:rsidRPr="00EC4D48">
        <w:rPr>
          <w:position w:val="-30"/>
        </w:rPr>
        <w:object w:dxaOrig="3840" w:dyaOrig="740" w14:anchorId="25A1BD5F">
          <v:shape id="_x0000_i1026" type="#_x0000_t75" style="width:192.4pt;height:36.75pt" o:ole="">
            <v:imagedata r:id="rId20" o:title=""/>
          </v:shape>
          <o:OLEObject Type="Embed" ProgID="Equation.DSMT4" ShapeID="_x0000_i1026" DrawAspect="Content" ObjectID="_1712309854" r:id="rId21"/>
        </w:object>
      </w:r>
      <w:r w:rsidR="00424DD2">
        <w:rPr>
          <w:rFonts w:hint="eastAsia"/>
          <w:bCs/>
        </w:rPr>
        <w:t xml:space="preserve">     </w:t>
      </w:r>
      <w:r w:rsidR="001A286F">
        <w:rPr>
          <w:bCs/>
        </w:rPr>
        <w:t xml:space="preserve">  </w:t>
      </w:r>
      <w:r w:rsidR="00424DD2">
        <w:rPr>
          <w:rFonts w:hint="eastAsia"/>
          <w:bCs/>
        </w:rPr>
        <w:t xml:space="preserve">        </w:t>
      </w:r>
      <w:r w:rsidR="00424DD2">
        <w:rPr>
          <w:rFonts w:hint="eastAsia"/>
          <w:bCs/>
        </w:rPr>
        <w:t>（</w:t>
      </w:r>
      <w:r w:rsidR="00402260">
        <w:rPr>
          <w:bCs/>
        </w:rPr>
        <w:t>3</w:t>
      </w:r>
      <w:r w:rsidR="00424DD2">
        <w:rPr>
          <w:rFonts w:hint="eastAsia"/>
          <w:bCs/>
        </w:rPr>
        <w:t>）</w:t>
      </w:r>
    </w:p>
    <w:p w14:paraId="3B0C8EB5" w14:textId="299C6300" w:rsidR="002512D8" w:rsidRDefault="001A5390" w:rsidP="00AA4E68">
      <w:pPr>
        <w:spacing w:line="240" w:lineRule="auto"/>
        <w:ind w:firstLine="420"/>
        <w:jc w:val="right"/>
        <w:textAlignment w:val="baseline"/>
        <w:rPr>
          <w:bCs/>
        </w:rPr>
      </w:pPr>
      <w:r w:rsidRPr="00EC4D48">
        <w:rPr>
          <w:position w:val="-28"/>
        </w:rPr>
        <w:object w:dxaOrig="2720" w:dyaOrig="680" w14:anchorId="6BEE2207">
          <v:shape id="_x0000_i1027" type="#_x0000_t75" style="width:136.15pt;height:34.15pt" o:ole="">
            <v:imagedata r:id="rId22" o:title=""/>
          </v:shape>
          <o:OLEObject Type="Embed" ProgID="Equation.DSMT4" ShapeID="_x0000_i1027" DrawAspect="Content" ObjectID="_1712309855" r:id="rId23"/>
        </w:object>
      </w:r>
      <w:r w:rsidR="00424DD2">
        <w:rPr>
          <w:rFonts w:hint="eastAsia"/>
          <w:bCs/>
        </w:rPr>
        <w:t xml:space="preserve">        </w:t>
      </w:r>
      <w:r w:rsidR="001A286F">
        <w:rPr>
          <w:bCs/>
        </w:rPr>
        <w:t xml:space="preserve"> </w:t>
      </w:r>
      <w:r w:rsidR="00424DD2">
        <w:rPr>
          <w:rFonts w:hint="eastAsia"/>
          <w:bCs/>
        </w:rPr>
        <w:t xml:space="preserve"> </w:t>
      </w:r>
      <w:r w:rsidR="001A286F">
        <w:rPr>
          <w:bCs/>
        </w:rPr>
        <w:t xml:space="preserve">  </w:t>
      </w:r>
      <w:r w:rsidR="00424DD2">
        <w:rPr>
          <w:rFonts w:hint="eastAsia"/>
          <w:bCs/>
        </w:rPr>
        <w:t xml:space="preserve">         </w:t>
      </w:r>
      <w:r w:rsidR="00424DD2">
        <w:rPr>
          <w:rFonts w:hint="eastAsia"/>
          <w:bCs/>
        </w:rPr>
        <w:t>（</w:t>
      </w:r>
      <w:r w:rsidR="00402260">
        <w:rPr>
          <w:bCs/>
        </w:rPr>
        <w:t>4</w:t>
      </w:r>
      <w:r w:rsidR="00424DD2">
        <w:rPr>
          <w:rFonts w:hint="eastAsia"/>
          <w:bCs/>
        </w:rPr>
        <w:t>）</w:t>
      </w:r>
    </w:p>
    <w:p w14:paraId="6BCB7FB5" w14:textId="41F3941A" w:rsidR="002512D8" w:rsidRDefault="00FE3930" w:rsidP="001A286F">
      <w:pPr>
        <w:spacing w:line="240" w:lineRule="auto"/>
        <w:ind w:firstLine="420"/>
        <w:jc w:val="right"/>
        <w:textAlignment w:val="center"/>
        <w:rPr>
          <w:bCs/>
        </w:rPr>
      </w:pPr>
      <w:r>
        <w:rPr>
          <w:bCs/>
          <w:noProof/>
        </w:rPr>
        <w:drawing>
          <wp:inline distT="0" distB="0" distL="0" distR="0" wp14:anchorId="4D9C62FD" wp14:editId="19648FF6">
            <wp:extent cx="797560" cy="446405"/>
            <wp:effectExtent l="0" t="0" r="2540" b="0"/>
            <wp:docPr id="4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7560" cy="446405"/>
                    </a:xfrm>
                    <a:prstGeom prst="rect">
                      <a:avLst/>
                    </a:prstGeom>
                    <a:noFill/>
                    <a:ln>
                      <a:noFill/>
                    </a:ln>
                  </pic:spPr>
                </pic:pic>
              </a:graphicData>
            </a:graphic>
          </wp:inline>
        </w:drawing>
      </w:r>
      <w:r w:rsidR="00424DD2">
        <w:rPr>
          <w:rFonts w:hint="eastAsia"/>
          <w:bCs/>
        </w:rPr>
        <w:t xml:space="preserve">          </w:t>
      </w:r>
      <w:r w:rsidR="001A286F">
        <w:rPr>
          <w:bCs/>
        </w:rPr>
        <w:t xml:space="preserve"> </w:t>
      </w:r>
      <w:r w:rsidR="00424DD2">
        <w:rPr>
          <w:rFonts w:hint="eastAsia"/>
          <w:bCs/>
        </w:rPr>
        <w:t xml:space="preserve">         </w:t>
      </w:r>
      <w:r w:rsidR="001A286F">
        <w:rPr>
          <w:bCs/>
        </w:rPr>
        <w:t xml:space="preserve">    </w:t>
      </w:r>
      <w:r w:rsidR="00424DD2">
        <w:rPr>
          <w:rFonts w:hint="eastAsia"/>
          <w:bCs/>
        </w:rPr>
        <w:t xml:space="preserve">     </w:t>
      </w:r>
      <w:r w:rsidR="00424DD2">
        <w:rPr>
          <w:rFonts w:hint="eastAsia"/>
          <w:bCs/>
        </w:rPr>
        <w:t>（</w:t>
      </w:r>
      <w:r w:rsidR="00402260">
        <w:rPr>
          <w:bCs/>
        </w:rPr>
        <w:t>5</w:t>
      </w:r>
      <w:r w:rsidR="00424DD2">
        <w:rPr>
          <w:rFonts w:hint="eastAsia"/>
          <w:bCs/>
        </w:rPr>
        <w:t>）</w:t>
      </w:r>
    </w:p>
    <w:p w14:paraId="78EF274E" w14:textId="33EE95C1" w:rsidR="002512D8" w:rsidRDefault="00402260" w:rsidP="00402260">
      <w:pPr>
        <w:spacing w:line="240" w:lineRule="auto"/>
        <w:ind w:firstLine="420"/>
        <w:jc w:val="right"/>
        <w:textAlignment w:val="baseline"/>
        <w:rPr>
          <w:bCs/>
        </w:rPr>
      </w:pPr>
      <w:r w:rsidRPr="00EC4D48">
        <w:rPr>
          <w:position w:val="-62"/>
        </w:rPr>
        <w:object w:dxaOrig="3739" w:dyaOrig="1040" w14:anchorId="08D02380">
          <v:shape id="_x0000_i1028" type="#_x0000_t75" style="width:187.15pt;height:51.75pt" o:ole="">
            <v:imagedata r:id="rId25" o:title=""/>
          </v:shape>
          <o:OLEObject Type="Embed" ProgID="Equation.DSMT4" ShapeID="_x0000_i1028" DrawAspect="Content" ObjectID="_1712309856" r:id="rId26"/>
        </w:object>
      </w:r>
      <w:r w:rsidR="00424DD2">
        <w:rPr>
          <w:rFonts w:hint="eastAsia"/>
          <w:bCs/>
        </w:rPr>
        <w:t xml:space="preserve">    </w:t>
      </w:r>
      <w:r w:rsidR="001A286F">
        <w:rPr>
          <w:bCs/>
        </w:rPr>
        <w:t xml:space="preserve">   </w:t>
      </w:r>
      <w:r w:rsidR="00424DD2">
        <w:rPr>
          <w:rFonts w:hint="eastAsia"/>
          <w:bCs/>
        </w:rPr>
        <w:t xml:space="preserve">   </w:t>
      </w:r>
      <w:r w:rsidR="001A286F">
        <w:rPr>
          <w:bCs/>
        </w:rPr>
        <w:t xml:space="preserve">   </w:t>
      </w:r>
      <w:r w:rsidR="00424DD2">
        <w:rPr>
          <w:rFonts w:hint="eastAsia"/>
          <w:bCs/>
        </w:rPr>
        <w:t xml:space="preserve">     </w:t>
      </w:r>
      <w:r w:rsidR="00424DD2">
        <w:rPr>
          <w:rFonts w:hint="eastAsia"/>
          <w:bCs/>
        </w:rPr>
        <w:t>（</w:t>
      </w:r>
      <w:r>
        <w:rPr>
          <w:bCs/>
        </w:rPr>
        <w:t>6</w:t>
      </w:r>
      <w:r w:rsidR="00424DD2">
        <w:rPr>
          <w:rFonts w:hint="eastAsia"/>
          <w:bCs/>
        </w:rPr>
        <w:t>）</w:t>
      </w:r>
    </w:p>
    <w:p w14:paraId="09C3D28D" w14:textId="72001883" w:rsidR="002512D8" w:rsidRDefault="00424DD2" w:rsidP="001A286F">
      <w:pPr>
        <w:autoSpaceDN w:val="0"/>
        <w:adjustRightInd w:val="0"/>
        <w:snapToGrid w:val="0"/>
        <w:ind w:firstLine="420"/>
        <w:textAlignment w:val="center"/>
        <w:rPr>
          <w:bCs/>
        </w:rPr>
      </w:pPr>
      <w:r>
        <w:rPr>
          <w:rFonts w:hint="eastAsia"/>
          <w:bCs/>
        </w:rPr>
        <w:t>其中</w:t>
      </w:r>
      <w:r w:rsidR="00FE3930">
        <w:rPr>
          <w:bCs/>
          <w:noProof/>
        </w:rPr>
        <w:drawing>
          <wp:inline distT="0" distB="0" distL="0" distR="0" wp14:anchorId="09530D8B" wp14:editId="5051ED0E">
            <wp:extent cx="182245" cy="242570"/>
            <wp:effectExtent l="0" t="0" r="8255" b="5080"/>
            <wp:docPr id="4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 cy="242570"/>
                    </a:xfrm>
                    <a:prstGeom prst="rect">
                      <a:avLst/>
                    </a:prstGeom>
                    <a:noFill/>
                    <a:ln>
                      <a:noFill/>
                    </a:ln>
                  </pic:spPr>
                </pic:pic>
              </a:graphicData>
            </a:graphic>
          </wp:inline>
        </w:drawing>
      </w:r>
      <w:r>
        <w:rPr>
          <w:rFonts w:hint="eastAsia"/>
          <w:bCs/>
        </w:rPr>
        <w:t>为既定风险持有期内第</w:t>
      </w:r>
      <w:proofErr w:type="spellStart"/>
      <w:r>
        <w:rPr>
          <w:rFonts w:hint="eastAsia"/>
          <w:bCs/>
        </w:rPr>
        <w:t>i</w:t>
      </w:r>
      <w:proofErr w:type="spellEnd"/>
      <w:r>
        <w:rPr>
          <w:rFonts w:hint="eastAsia"/>
          <w:bCs/>
        </w:rPr>
        <w:t>个交易日的</w:t>
      </w:r>
      <w:r w:rsidR="00B63F04">
        <w:rPr>
          <w:rFonts w:hint="eastAsia"/>
          <w:bCs/>
        </w:rPr>
        <w:t>汇差</w:t>
      </w:r>
      <w:r>
        <w:rPr>
          <w:rFonts w:hint="eastAsia"/>
          <w:bCs/>
        </w:rPr>
        <w:t>，</w:t>
      </w:r>
      <w:r w:rsidR="00FE3930">
        <w:rPr>
          <w:bCs/>
          <w:noProof/>
        </w:rPr>
        <w:drawing>
          <wp:inline distT="0" distB="0" distL="0" distR="0" wp14:anchorId="523B4CA9" wp14:editId="49B6BD41">
            <wp:extent cx="147320" cy="168910"/>
            <wp:effectExtent l="0" t="0" r="5080" b="2540"/>
            <wp:docPr id="47"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320" cy="168910"/>
                    </a:xfrm>
                    <a:prstGeom prst="rect">
                      <a:avLst/>
                    </a:prstGeom>
                    <a:noFill/>
                    <a:ln>
                      <a:noFill/>
                    </a:ln>
                  </pic:spPr>
                </pic:pic>
              </a:graphicData>
            </a:graphic>
          </wp:inline>
        </w:drawing>
      </w:r>
      <w:r>
        <w:rPr>
          <w:rFonts w:hint="eastAsia"/>
          <w:bCs/>
        </w:rPr>
        <w:t>为条件均值，</w:t>
      </w:r>
      <w:r w:rsidR="00FE3930">
        <w:rPr>
          <w:bCs/>
          <w:noProof/>
        </w:rPr>
        <w:drawing>
          <wp:inline distT="0" distB="0" distL="0" distR="0" wp14:anchorId="47F8CDF4" wp14:editId="64B143A0">
            <wp:extent cx="212090" cy="242570"/>
            <wp:effectExtent l="0" t="0" r="0" b="5080"/>
            <wp:docPr id="46"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90" cy="242570"/>
                    </a:xfrm>
                    <a:prstGeom prst="rect">
                      <a:avLst/>
                    </a:prstGeom>
                    <a:noFill/>
                    <a:ln>
                      <a:noFill/>
                    </a:ln>
                  </pic:spPr>
                </pic:pic>
              </a:graphicData>
            </a:graphic>
          </wp:inline>
        </w:drawing>
      </w:r>
      <w:r>
        <w:rPr>
          <w:rFonts w:hint="eastAsia"/>
          <w:bCs/>
        </w:rPr>
        <w:t>为服从标准正态分布的随机扰动项，</w:t>
      </w:r>
      <w:r w:rsidR="00FE3930">
        <w:rPr>
          <w:b/>
          <w:noProof/>
          <w:sz w:val="24"/>
        </w:rPr>
        <w:drawing>
          <wp:inline distT="0" distB="0" distL="0" distR="0" wp14:anchorId="2F01EC53" wp14:editId="091877C3">
            <wp:extent cx="186055" cy="229870"/>
            <wp:effectExtent l="0" t="0" r="4445" b="0"/>
            <wp:docPr id="45"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055" cy="229870"/>
                    </a:xfrm>
                    <a:prstGeom prst="rect">
                      <a:avLst/>
                    </a:prstGeom>
                    <a:noFill/>
                    <a:ln>
                      <a:noFill/>
                    </a:ln>
                  </pic:spPr>
                </pic:pic>
              </a:graphicData>
            </a:graphic>
          </wp:inline>
        </w:drawing>
      </w:r>
      <w:r w:rsidR="00B63F04" w:rsidRPr="00B63F04">
        <w:rPr>
          <w:rFonts w:hint="eastAsia"/>
          <w:bCs/>
        </w:rPr>
        <w:t>为</w:t>
      </w:r>
      <w:r>
        <w:rPr>
          <w:rFonts w:hint="eastAsia"/>
          <w:bCs/>
        </w:rPr>
        <w:t>第</w:t>
      </w:r>
      <w:r>
        <w:rPr>
          <w:rFonts w:hint="eastAsia"/>
          <w:bCs/>
        </w:rPr>
        <w:t>t</w:t>
      </w:r>
      <w:r>
        <w:rPr>
          <w:rFonts w:hint="eastAsia"/>
          <w:bCs/>
        </w:rPr>
        <w:t>个月所拥有的天数，</w:t>
      </w:r>
      <w:r w:rsidR="00FE3930">
        <w:rPr>
          <w:bCs/>
          <w:noProof/>
        </w:rPr>
        <w:drawing>
          <wp:inline distT="0" distB="0" distL="0" distR="0" wp14:anchorId="77D3E818" wp14:editId="73DB1417">
            <wp:extent cx="216535" cy="242570"/>
            <wp:effectExtent l="0" t="0" r="0" b="5080"/>
            <wp:docPr id="4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42570"/>
                    </a:xfrm>
                    <a:prstGeom prst="rect">
                      <a:avLst/>
                    </a:prstGeom>
                    <a:noFill/>
                    <a:ln>
                      <a:noFill/>
                    </a:ln>
                  </pic:spPr>
                </pic:pic>
              </a:graphicData>
            </a:graphic>
          </wp:inline>
        </w:drawing>
      </w:r>
      <w:r>
        <w:rPr>
          <w:rFonts w:hint="eastAsia"/>
          <w:bCs/>
        </w:rPr>
        <w:t>为短期波动率，</w:t>
      </w:r>
      <w:r w:rsidR="00FE3930">
        <w:rPr>
          <w:bCs/>
          <w:noProof/>
        </w:rPr>
        <w:drawing>
          <wp:inline distT="0" distB="0" distL="0" distR="0" wp14:anchorId="177BC68D" wp14:editId="28FB16C6">
            <wp:extent cx="134620" cy="229870"/>
            <wp:effectExtent l="0" t="0" r="0" b="0"/>
            <wp:docPr id="43"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20" cy="229870"/>
                    </a:xfrm>
                    <a:prstGeom prst="rect">
                      <a:avLst/>
                    </a:prstGeom>
                    <a:noFill/>
                    <a:ln>
                      <a:noFill/>
                    </a:ln>
                  </pic:spPr>
                </pic:pic>
              </a:graphicData>
            </a:graphic>
          </wp:inline>
        </w:drawing>
      </w:r>
      <w:r>
        <w:rPr>
          <w:rFonts w:hint="eastAsia"/>
          <w:bCs/>
        </w:rPr>
        <w:t>为长期波动率，</w:t>
      </w:r>
      <w:r>
        <w:rPr>
          <w:rFonts w:hint="eastAsia"/>
          <w:bCs/>
        </w:rPr>
        <w:t>K</w:t>
      </w:r>
      <w:r>
        <w:rPr>
          <w:rFonts w:hint="eastAsia"/>
          <w:bCs/>
        </w:rPr>
        <w:t>为低频变量最大滞后阶数，</w:t>
      </w:r>
      <w:r>
        <w:rPr>
          <w:rFonts w:hint="eastAsia"/>
          <w:bCs/>
        </w:rPr>
        <w:t>m</w:t>
      </w:r>
      <w:r>
        <w:rPr>
          <w:rFonts w:hint="eastAsia"/>
          <w:bCs/>
        </w:rPr>
        <w:t>和</w:t>
      </w:r>
      <w:r w:rsidR="00FE3930">
        <w:rPr>
          <w:bCs/>
          <w:noProof/>
        </w:rPr>
        <w:drawing>
          <wp:inline distT="0" distB="0" distL="0" distR="0" wp14:anchorId="027CBD02" wp14:editId="4A087688">
            <wp:extent cx="134620" cy="182245"/>
            <wp:effectExtent l="0" t="0" r="0" b="8255"/>
            <wp:docPr id="42"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620" cy="182245"/>
                    </a:xfrm>
                    <a:prstGeom prst="rect">
                      <a:avLst/>
                    </a:prstGeom>
                    <a:noFill/>
                    <a:ln>
                      <a:noFill/>
                    </a:ln>
                  </pic:spPr>
                </pic:pic>
              </a:graphicData>
            </a:graphic>
          </wp:inline>
        </w:drawing>
      </w:r>
      <w:r>
        <w:rPr>
          <w:rFonts w:hint="eastAsia"/>
          <w:bCs/>
        </w:rPr>
        <w:t>是待估参数，</w:t>
      </w:r>
      <w:r w:rsidR="00B63F04">
        <w:rPr>
          <w:bCs/>
          <w:noProof/>
        </w:rPr>
        <w:drawing>
          <wp:inline distT="0" distB="0" distL="0" distR="0" wp14:anchorId="7034841B" wp14:editId="2E378E73">
            <wp:extent cx="264160" cy="229870"/>
            <wp:effectExtent l="0" t="0" r="254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160" cy="229870"/>
                    </a:xfrm>
                    <a:prstGeom prst="rect">
                      <a:avLst/>
                    </a:prstGeom>
                    <a:noFill/>
                    <a:ln>
                      <a:noFill/>
                    </a:ln>
                  </pic:spPr>
                </pic:pic>
              </a:graphicData>
            </a:graphic>
          </wp:inline>
        </w:drawing>
      </w:r>
      <w:r w:rsidR="00B63F04">
        <w:rPr>
          <w:rFonts w:hint="eastAsia"/>
          <w:bCs/>
        </w:rPr>
        <w:t>为已实现波动，</w:t>
      </w:r>
      <w:r w:rsidR="00FE3930">
        <w:rPr>
          <w:bCs/>
          <w:noProof/>
        </w:rPr>
        <w:drawing>
          <wp:inline distT="0" distB="0" distL="0" distR="0" wp14:anchorId="066BA888" wp14:editId="79A2B216">
            <wp:extent cx="658495" cy="229870"/>
            <wp:effectExtent l="0" t="0" r="8255" b="0"/>
            <wp:docPr id="41"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8495" cy="229870"/>
                    </a:xfrm>
                    <a:prstGeom prst="rect">
                      <a:avLst/>
                    </a:prstGeom>
                    <a:noFill/>
                    <a:ln>
                      <a:noFill/>
                    </a:ln>
                  </pic:spPr>
                </pic:pic>
              </a:graphicData>
            </a:graphic>
          </wp:inline>
        </w:drawing>
      </w:r>
      <w:r>
        <w:rPr>
          <w:rFonts w:hint="eastAsia"/>
          <w:bCs/>
        </w:rPr>
        <w:t>为</w:t>
      </w:r>
      <w:r>
        <w:rPr>
          <w:rFonts w:hint="eastAsia"/>
          <w:bCs/>
        </w:rPr>
        <w:t>Beta</w:t>
      </w:r>
      <w:r>
        <w:rPr>
          <w:rFonts w:hint="eastAsia"/>
          <w:bCs/>
        </w:rPr>
        <w:t>函数型权重结构，</w:t>
      </w:r>
      <w:r w:rsidR="00FE3930">
        <w:rPr>
          <w:bCs/>
          <w:noProof/>
        </w:rPr>
        <w:drawing>
          <wp:inline distT="0" distB="0" distL="0" distR="0" wp14:anchorId="3D9A28AE" wp14:editId="03C4494C">
            <wp:extent cx="182245" cy="229870"/>
            <wp:effectExtent l="0" t="0" r="8255" b="0"/>
            <wp:docPr id="40"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245" cy="229870"/>
                    </a:xfrm>
                    <a:prstGeom prst="rect">
                      <a:avLst/>
                    </a:prstGeom>
                    <a:noFill/>
                    <a:ln>
                      <a:noFill/>
                    </a:ln>
                  </pic:spPr>
                </pic:pic>
              </a:graphicData>
            </a:graphic>
          </wp:inline>
        </w:drawing>
      </w:r>
      <w:r>
        <w:rPr>
          <w:rFonts w:hint="eastAsia"/>
          <w:bCs/>
        </w:rPr>
        <w:t>与</w:t>
      </w:r>
      <w:r w:rsidR="00FE3930">
        <w:rPr>
          <w:bCs/>
          <w:noProof/>
        </w:rPr>
        <w:drawing>
          <wp:inline distT="0" distB="0" distL="0" distR="0" wp14:anchorId="5E177426" wp14:editId="4960CB14">
            <wp:extent cx="186055" cy="229870"/>
            <wp:effectExtent l="0" t="0" r="4445" b="0"/>
            <wp:docPr id="3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055" cy="229870"/>
                    </a:xfrm>
                    <a:prstGeom prst="rect">
                      <a:avLst/>
                    </a:prstGeom>
                    <a:noFill/>
                    <a:ln>
                      <a:noFill/>
                    </a:ln>
                  </pic:spPr>
                </pic:pic>
              </a:graphicData>
            </a:graphic>
          </wp:inline>
        </w:drawing>
      </w:r>
      <w:r>
        <w:rPr>
          <w:rFonts w:hint="eastAsia"/>
          <w:bCs/>
        </w:rPr>
        <w:t>是</w:t>
      </w:r>
      <w:r>
        <w:rPr>
          <w:rFonts w:hint="eastAsia"/>
          <w:bCs/>
        </w:rPr>
        <w:t>Beta</w:t>
      </w:r>
      <w:r>
        <w:rPr>
          <w:rFonts w:hint="eastAsia"/>
          <w:bCs/>
        </w:rPr>
        <w:t>函数型权重结构的两个参数，</w:t>
      </w:r>
      <w:r w:rsidR="00AA4E68" w:rsidRPr="00666F6C">
        <w:object w:dxaOrig="1640" w:dyaOrig="680" w14:anchorId="384C4F72">
          <v:shape id="_x0000_i1029" type="#_x0000_t75" style="width:81.75pt;height:34.15pt" o:ole="">
            <v:imagedata r:id="rId38" o:title=""/>
          </v:shape>
          <o:OLEObject Type="Embed" ProgID="Equation.DSMT4" ShapeID="_x0000_i1029" DrawAspect="Content" ObjectID="_1712309857" r:id="rId39"/>
        </w:object>
      </w:r>
      <w:r>
        <w:rPr>
          <w:rFonts w:hint="eastAsia"/>
          <w:bCs/>
        </w:rPr>
        <w:t>。</w:t>
      </w:r>
      <w:r w:rsidR="00B63F04" w:rsidRPr="006B32BA">
        <w:rPr>
          <w:bCs/>
        </w:rPr>
        <w:object w:dxaOrig="279" w:dyaOrig="360" w14:anchorId="652C2196">
          <v:shape id="_x0000_i1030" type="#_x0000_t75" style="width:13.5pt;height:18pt" o:ole="">
            <v:imagedata r:id="rId40" o:title=""/>
          </v:shape>
          <o:OLEObject Type="Embed" ProgID="Equation.DSMT4" ShapeID="_x0000_i1030" DrawAspect="Content" ObjectID="_1712309858" r:id="rId41"/>
        </w:object>
      </w:r>
      <w:r w:rsidR="00402260">
        <w:rPr>
          <w:rFonts w:hint="eastAsia"/>
        </w:rPr>
        <w:t>通常设置为</w:t>
      </w:r>
      <w:r w:rsidR="00402260">
        <w:rPr>
          <w:rFonts w:hint="eastAsia"/>
        </w:rPr>
        <w:t>1</w:t>
      </w:r>
      <w:r w:rsidR="00402260">
        <w:rPr>
          <w:rFonts w:hint="eastAsia"/>
        </w:rPr>
        <w:t>，</w:t>
      </w:r>
      <w:r w:rsidR="00FE3930">
        <w:rPr>
          <w:bCs/>
          <w:noProof/>
        </w:rPr>
        <w:drawing>
          <wp:inline distT="0" distB="0" distL="0" distR="0" wp14:anchorId="72101664" wp14:editId="62EA96BE">
            <wp:extent cx="186055" cy="229870"/>
            <wp:effectExtent l="0" t="0" r="4445" b="0"/>
            <wp:docPr id="38"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055" cy="229870"/>
                    </a:xfrm>
                    <a:prstGeom prst="rect">
                      <a:avLst/>
                    </a:prstGeom>
                    <a:noFill/>
                    <a:ln>
                      <a:noFill/>
                    </a:ln>
                  </pic:spPr>
                </pic:pic>
              </a:graphicData>
            </a:graphic>
          </wp:inline>
        </w:drawing>
      </w:r>
      <w:r>
        <w:rPr>
          <w:rFonts w:hint="eastAsia"/>
          <w:bCs/>
        </w:rPr>
        <w:t>体现由已实现波动影响的长期波动衰减速度，</w:t>
      </w:r>
      <w:r w:rsidR="00FE3930">
        <w:rPr>
          <w:bCs/>
          <w:noProof/>
        </w:rPr>
        <w:drawing>
          <wp:inline distT="0" distB="0" distL="0" distR="0" wp14:anchorId="6E37EA6B" wp14:editId="1EDA72BF">
            <wp:extent cx="186055" cy="229870"/>
            <wp:effectExtent l="0" t="0" r="4445" b="0"/>
            <wp:docPr id="37"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055" cy="229870"/>
                    </a:xfrm>
                    <a:prstGeom prst="rect">
                      <a:avLst/>
                    </a:prstGeom>
                    <a:noFill/>
                    <a:ln>
                      <a:noFill/>
                    </a:ln>
                  </pic:spPr>
                </pic:pic>
              </a:graphicData>
            </a:graphic>
          </wp:inline>
        </w:drawing>
      </w:r>
      <w:r>
        <w:rPr>
          <w:rFonts w:hint="eastAsia"/>
          <w:bCs/>
        </w:rPr>
        <w:t>越大衰减速度越快。</w:t>
      </w:r>
    </w:p>
    <w:p w14:paraId="427F56FB" w14:textId="6D25197C" w:rsidR="002512D8" w:rsidRDefault="00424DD2" w:rsidP="00416544">
      <w:pPr>
        <w:ind w:firstLine="420"/>
        <w:textAlignment w:val="baseline"/>
        <w:rPr>
          <w:bCs/>
        </w:rPr>
      </w:pPr>
      <w:r>
        <w:rPr>
          <w:rFonts w:hint="eastAsia"/>
          <w:bCs/>
        </w:rPr>
        <w:t>为了考察基本面变量、</w:t>
      </w:r>
      <w:r w:rsidR="00405C52">
        <w:rPr>
          <w:rFonts w:hint="eastAsia"/>
          <w:bCs/>
        </w:rPr>
        <w:t>政治经济</w:t>
      </w:r>
      <w:r>
        <w:rPr>
          <w:rFonts w:hint="eastAsia"/>
          <w:bCs/>
        </w:rPr>
        <w:t>环境变量</w:t>
      </w:r>
      <w:r w:rsidR="00405C52">
        <w:rPr>
          <w:rFonts w:hint="eastAsia"/>
          <w:bCs/>
        </w:rPr>
        <w:t>、投资者关注度</w:t>
      </w:r>
      <w:r>
        <w:rPr>
          <w:rFonts w:hint="eastAsia"/>
          <w:bCs/>
        </w:rPr>
        <w:t>和政策变量对</w:t>
      </w:r>
      <w:r>
        <w:rPr>
          <w:rFonts w:hint="eastAsia"/>
          <w:bCs/>
        </w:rPr>
        <w:t>CNY</w:t>
      </w:r>
      <w:r>
        <w:rPr>
          <w:rFonts w:hint="eastAsia"/>
          <w:bCs/>
        </w:rPr>
        <w:t>与</w:t>
      </w:r>
      <w:r>
        <w:rPr>
          <w:rFonts w:hint="eastAsia"/>
          <w:bCs/>
        </w:rPr>
        <w:t>CNH</w:t>
      </w:r>
      <w:r>
        <w:rPr>
          <w:rFonts w:hint="eastAsia"/>
          <w:bCs/>
        </w:rPr>
        <w:t>价</w:t>
      </w:r>
      <w:r>
        <w:rPr>
          <w:rFonts w:hint="eastAsia"/>
          <w:bCs/>
        </w:rPr>
        <w:lastRenderedPageBreak/>
        <w:t>差长短期波动的影响，本文将上述变量</w:t>
      </w:r>
      <w:r w:rsidR="00B63F04">
        <w:rPr>
          <w:rFonts w:hint="eastAsia"/>
          <w:bCs/>
        </w:rPr>
        <w:t>替代已实现波动率</w:t>
      </w:r>
      <w:r w:rsidR="00B63F04">
        <w:rPr>
          <w:rFonts w:hint="eastAsia"/>
          <w:bCs/>
        </w:rPr>
        <w:t>R</w:t>
      </w:r>
      <w:r w:rsidR="00B63F04">
        <w:rPr>
          <w:bCs/>
        </w:rPr>
        <w:t>V</w:t>
      </w:r>
      <w:r w:rsidR="00416544">
        <w:rPr>
          <w:rFonts w:hint="eastAsia"/>
          <w:bCs/>
        </w:rPr>
        <w:t>，记为</w:t>
      </w:r>
      <w:r w:rsidR="00416544" w:rsidRPr="00EC4D48">
        <w:rPr>
          <w:position w:val="-12"/>
        </w:rPr>
        <w:object w:dxaOrig="520" w:dyaOrig="360" w14:anchorId="1E70EC47">
          <v:shape id="_x0000_i1031" type="#_x0000_t75" style="width:25.9pt;height:18pt" o:ole="">
            <v:imagedata r:id="rId42" o:title=""/>
          </v:shape>
          <o:OLEObject Type="Embed" ProgID="Equation.DSMT4" ShapeID="_x0000_i1031" DrawAspect="Content" ObjectID="_1712309859" r:id="rId43"/>
        </w:object>
      </w:r>
      <w:r w:rsidR="00B63F04">
        <w:rPr>
          <w:rFonts w:hint="eastAsia"/>
          <w:bCs/>
        </w:rPr>
        <w:t>，</w:t>
      </w:r>
      <w:r>
        <w:rPr>
          <w:rFonts w:hint="eastAsia"/>
          <w:bCs/>
        </w:rPr>
        <w:t>引入</w:t>
      </w:r>
      <w:r w:rsidR="00402260">
        <w:rPr>
          <w:rFonts w:hint="eastAsia"/>
          <w:bCs/>
        </w:rPr>
        <w:t>单因子</w:t>
      </w:r>
      <w:r>
        <w:rPr>
          <w:rFonts w:hint="eastAsia"/>
          <w:bCs/>
        </w:rPr>
        <w:t>GARCH-MIDAS</w:t>
      </w:r>
      <w:r>
        <w:rPr>
          <w:rFonts w:hint="eastAsia"/>
          <w:bCs/>
        </w:rPr>
        <w:t>模型中，公式如下：</w:t>
      </w:r>
    </w:p>
    <w:p w14:paraId="2A38A54A" w14:textId="15E61CE5" w:rsidR="002512D8" w:rsidRDefault="00AA4E68" w:rsidP="00AA4E68">
      <w:pPr>
        <w:ind w:firstLine="420"/>
        <w:jc w:val="right"/>
        <w:textAlignment w:val="baseline"/>
        <w:rPr>
          <w:rFonts w:ascii="宋体" w:hAnsi="宋体"/>
          <w:sz w:val="24"/>
          <w:szCs w:val="24"/>
        </w:rPr>
      </w:pPr>
      <w:r w:rsidRPr="00E96904">
        <w:rPr>
          <w:position w:val="-28"/>
        </w:rPr>
        <w:object w:dxaOrig="2700" w:dyaOrig="680" w14:anchorId="496AE9C7">
          <v:shape id="_x0000_i1032" type="#_x0000_t75" style="width:135pt;height:34.15pt" o:ole="">
            <v:imagedata r:id="rId44" o:title=""/>
          </v:shape>
          <o:OLEObject Type="Embed" ProgID="Equation.DSMT4" ShapeID="_x0000_i1032" DrawAspect="Content" ObjectID="_1712309860" r:id="rId45"/>
        </w:object>
      </w:r>
      <w:r w:rsidR="00424DD2">
        <w:rPr>
          <w:rFonts w:hint="eastAsia"/>
          <w:bCs/>
        </w:rPr>
        <w:t xml:space="preserve">       </w:t>
      </w:r>
      <w:r w:rsidR="00AF5534">
        <w:rPr>
          <w:bCs/>
        </w:rPr>
        <w:t xml:space="preserve">  </w:t>
      </w:r>
      <w:r w:rsidR="00424DD2">
        <w:rPr>
          <w:rFonts w:hint="eastAsia"/>
          <w:bCs/>
        </w:rPr>
        <w:t xml:space="preserve"> </w:t>
      </w:r>
      <w:r w:rsidR="00AF5534">
        <w:rPr>
          <w:bCs/>
        </w:rPr>
        <w:t xml:space="preserve"> </w:t>
      </w:r>
      <w:r w:rsidR="00424DD2">
        <w:rPr>
          <w:rFonts w:hint="eastAsia"/>
          <w:bCs/>
        </w:rPr>
        <w:t xml:space="preserve"> </w:t>
      </w:r>
      <w:r w:rsidR="00FB1300">
        <w:rPr>
          <w:bCs/>
        </w:rPr>
        <w:t xml:space="preserve">  </w:t>
      </w:r>
      <w:r w:rsidR="00424DD2">
        <w:rPr>
          <w:rFonts w:hint="eastAsia"/>
          <w:bCs/>
        </w:rPr>
        <w:t xml:space="preserve">         (</w:t>
      </w:r>
      <w:r>
        <w:rPr>
          <w:bCs/>
        </w:rPr>
        <w:t>7</w:t>
      </w:r>
      <w:r w:rsidR="00424DD2">
        <w:rPr>
          <w:rFonts w:hint="eastAsia"/>
          <w:bCs/>
        </w:rPr>
        <w:t>)</w:t>
      </w:r>
    </w:p>
    <w:p w14:paraId="5A29D402" w14:textId="072A8E12" w:rsidR="002512D8" w:rsidRDefault="00424DD2" w:rsidP="001A286F">
      <w:pPr>
        <w:pStyle w:val="1"/>
      </w:pPr>
      <w:r>
        <w:rPr>
          <w:rFonts w:hint="eastAsia"/>
        </w:rPr>
        <w:t>四</w:t>
      </w:r>
      <w:r w:rsidR="001A286F">
        <w:rPr>
          <w:rFonts w:hint="eastAsia"/>
        </w:rPr>
        <w:t>、</w:t>
      </w:r>
      <w:r>
        <w:rPr>
          <w:rFonts w:hint="eastAsia"/>
        </w:rPr>
        <w:t>实证分析</w:t>
      </w:r>
    </w:p>
    <w:p w14:paraId="11B73F8C" w14:textId="32A99812" w:rsidR="002512D8" w:rsidRDefault="00AD3EF6" w:rsidP="00F15DDD">
      <w:pPr>
        <w:pStyle w:val="2"/>
      </w:pPr>
      <w:r>
        <w:rPr>
          <w:rFonts w:hint="eastAsia"/>
        </w:rPr>
        <w:t>（一）</w:t>
      </w:r>
      <w:r w:rsidR="00424DD2">
        <w:rPr>
          <w:rFonts w:hint="eastAsia"/>
        </w:rPr>
        <w:t>描述性统计</w:t>
      </w:r>
    </w:p>
    <w:p w14:paraId="3E0DAA23" w14:textId="21686D5C" w:rsidR="002512D8" w:rsidRDefault="00424DD2">
      <w:pPr>
        <w:ind w:firstLine="420"/>
        <w:textAlignment w:val="center"/>
        <w:rPr>
          <w:bCs/>
        </w:rPr>
      </w:pPr>
      <w:r>
        <w:rPr>
          <w:rFonts w:hint="eastAsia"/>
          <w:bCs/>
        </w:rPr>
        <w:t>根据第三章对变量的选取与说明，选取被解释变量为在岸人民币汇率与离岸人民币汇率之差，解释变量为中美利差、人民币</w:t>
      </w:r>
      <w:r w:rsidR="005620F6">
        <w:rPr>
          <w:rFonts w:hint="eastAsia"/>
          <w:bCs/>
        </w:rPr>
        <w:t>升</w:t>
      </w:r>
      <w:r>
        <w:rPr>
          <w:rFonts w:hint="eastAsia"/>
          <w:bCs/>
        </w:rPr>
        <w:t>贬值预期、经济政策不确定性、地缘政治风险、国内投资者关注度、国外投资者关注度、人民币兑美元汇率中间价机制改革和人民币国际化进程，数据的描述性统计如表</w:t>
      </w:r>
      <w:r>
        <w:rPr>
          <w:rFonts w:hint="eastAsia"/>
          <w:bCs/>
        </w:rPr>
        <w:t>3</w:t>
      </w:r>
      <w:r>
        <w:rPr>
          <w:rFonts w:hint="eastAsia"/>
          <w:bCs/>
        </w:rPr>
        <w:t>所示。</w:t>
      </w:r>
    </w:p>
    <w:p w14:paraId="2D44D71C" w14:textId="77777777" w:rsidR="002512D8" w:rsidRPr="00F15DDD" w:rsidRDefault="00424DD2">
      <w:pPr>
        <w:ind w:firstLine="422"/>
        <w:jc w:val="center"/>
        <w:textAlignment w:val="center"/>
        <w:rPr>
          <w:b/>
        </w:rPr>
      </w:pPr>
      <w:r w:rsidRPr="00F15DDD">
        <w:rPr>
          <w:rFonts w:hint="eastAsia"/>
          <w:b/>
        </w:rPr>
        <w:t>表</w:t>
      </w:r>
      <w:r w:rsidRPr="00F15DDD">
        <w:rPr>
          <w:rFonts w:hint="eastAsia"/>
          <w:b/>
        </w:rPr>
        <w:t xml:space="preserve">3 </w:t>
      </w:r>
      <w:r w:rsidRPr="00F15DDD">
        <w:rPr>
          <w:rFonts w:hint="eastAsia"/>
          <w:b/>
        </w:rPr>
        <w:t>变量的描述性统计结果</w:t>
      </w:r>
    </w:p>
    <w:tbl>
      <w:tblPr>
        <w:tblStyle w:val="a3"/>
        <w:tblW w:w="529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5"/>
        <w:gridCol w:w="1090"/>
        <w:gridCol w:w="814"/>
        <w:gridCol w:w="819"/>
        <w:gridCol w:w="814"/>
        <w:gridCol w:w="838"/>
        <w:gridCol w:w="956"/>
        <w:gridCol w:w="795"/>
        <w:gridCol w:w="918"/>
      </w:tblGrid>
      <w:tr w:rsidR="00D0343F" w:rsidRPr="004A2C2A" w14:paraId="03A04A3B" w14:textId="77777777" w:rsidTr="00AF5534">
        <w:trPr>
          <w:trHeight w:val="473"/>
        </w:trPr>
        <w:tc>
          <w:tcPr>
            <w:tcW w:w="993" w:type="pct"/>
            <w:tcBorders>
              <w:top w:val="single" w:sz="12" w:space="0" w:color="auto"/>
              <w:bottom w:val="single" w:sz="4" w:space="0" w:color="auto"/>
            </w:tcBorders>
            <w:vAlign w:val="center"/>
          </w:tcPr>
          <w:p w14:paraId="44FD1135"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变量名称</w:t>
            </w:r>
          </w:p>
        </w:tc>
        <w:tc>
          <w:tcPr>
            <w:tcW w:w="620" w:type="pct"/>
            <w:tcBorders>
              <w:top w:val="single" w:sz="12" w:space="0" w:color="auto"/>
              <w:bottom w:val="single" w:sz="4" w:space="0" w:color="auto"/>
            </w:tcBorders>
            <w:vAlign w:val="center"/>
          </w:tcPr>
          <w:p w14:paraId="3B89F565"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变量符号</w:t>
            </w:r>
          </w:p>
        </w:tc>
        <w:tc>
          <w:tcPr>
            <w:tcW w:w="463" w:type="pct"/>
            <w:tcBorders>
              <w:top w:val="single" w:sz="12" w:space="0" w:color="auto"/>
              <w:bottom w:val="single" w:sz="4" w:space="0" w:color="auto"/>
            </w:tcBorders>
            <w:vAlign w:val="center"/>
          </w:tcPr>
          <w:p w14:paraId="3698070C"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平均值</w:t>
            </w:r>
          </w:p>
        </w:tc>
        <w:tc>
          <w:tcPr>
            <w:tcW w:w="466" w:type="pct"/>
            <w:tcBorders>
              <w:top w:val="single" w:sz="12" w:space="0" w:color="auto"/>
              <w:bottom w:val="single" w:sz="4" w:space="0" w:color="auto"/>
            </w:tcBorders>
            <w:vAlign w:val="center"/>
          </w:tcPr>
          <w:p w14:paraId="01532BA8"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中位数</w:t>
            </w:r>
          </w:p>
        </w:tc>
        <w:tc>
          <w:tcPr>
            <w:tcW w:w="463" w:type="pct"/>
            <w:tcBorders>
              <w:top w:val="single" w:sz="12" w:space="0" w:color="auto"/>
              <w:bottom w:val="single" w:sz="4" w:space="0" w:color="auto"/>
            </w:tcBorders>
            <w:vAlign w:val="center"/>
          </w:tcPr>
          <w:p w14:paraId="6EBE8CC4"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最大值</w:t>
            </w:r>
          </w:p>
        </w:tc>
        <w:tc>
          <w:tcPr>
            <w:tcW w:w="477" w:type="pct"/>
            <w:tcBorders>
              <w:top w:val="single" w:sz="12" w:space="0" w:color="auto"/>
              <w:bottom w:val="single" w:sz="4" w:space="0" w:color="auto"/>
            </w:tcBorders>
            <w:vAlign w:val="center"/>
          </w:tcPr>
          <w:p w14:paraId="1F2B3903"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最小值</w:t>
            </w:r>
          </w:p>
        </w:tc>
        <w:tc>
          <w:tcPr>
            <w:tcW w:w="544" w:type="pct"/>
            <w:tcBorders>
              <w:top w:val="single" w:sz="12" w:space="0" w:color="auto"/>
              <w:bottom w:val="single" w:sz="4" w:space="0" w:color="auto"/>
            </w:tcBorders>
            <w:vAlign w:val="center"/>
          </w:tcPr>
          <w:p w14:paraId="5836E634"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标准差</w:t>
            </w:r>
          </w:p>
        </w:tc>
        <w:tc>
          <w:tcPr>
            <w:tcW w:w="452" w:type="pct"/>
            <w:tcBorders>
              <w:top w:val="single" w:sz="12" w:space="0" w:color="auto"/>
              <w:bottom w:val="single" w:sz="4" w:space="0" w:color="auto"/>
            </w:tcBorders>
            <w:vAlign w:val="center"/>
          </w:tcPr>
          <w:p w14:paraId="4D2A48FC"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峰度</w:t>
            </w:r>
          </w:p>
        </w:tc>
        <w:tc>
          <w:tcPr>
            <w:tcW w:w="522" w:type="pct"/>
            <w:tcBorders>
              <w:top w:val="single" w:sz="12" w:space="0" w:color="auto"/>
              <w:bottom w:val="single" w:sz="4" w:space="0" w:color="auto"/>
            </w:tcBorders>
            <w:vAlign w:val="center"/>
          </w:tcPr>
          <w:p w14:paraId="6A3EBB32"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偏度</w:t>
            </w:r>
          </w:p>
        </w:tc>
      </w:tr>
      <w:tr w:rsidR="00D0343F" w:rsidRPr="004A2C2A" w14:paraId="71FE5082" w14:textId="77777777" w:rsidTr="00AF5534">
        <w:trPr>
          <w:trHeight w:val="448"/>
        </w:trPr>
        <w:tc>
          <w:tcPr>
            <w:tcW w:w="993" w:type="pct"/>
            <w:tcBorders>
              <w:top w:val="single" w:sz="4" w:space="0" w:color="auto"/>
            </w:tcBorders>
            <w:vAlign w:val="center"/>
          </w:tcPr>
          <w:p w14:paraId="374C5D7A"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汇差</w:t>
            </w:r>
          </w:p>
        </w:tc>
        <w:tc>
          <w:tcPr>
            <w:tcW w:w="620" w:type="pct"/>
            <w:tcBorders>
              <w:top w:val="single" w:sz="4" w:space="0" w:color="auto"/>
            </w:tcBorders>
            <w:vAlign w:val="center"/>
          </w:tcPr>
          <w:p w14:paraId="07AAD2F6"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CNY-CNH</w:t>
            </w:r>
          </w:p>
        </w:tc>
        <w:tc>
          <w:tcPr>
            <w:tcW w:w="463" w:type="pct"/>
            <w:tcBorders>
              <w:top w:val="single" w:sz="4" w:space="0" w:color="auto"/>
            </w:tcBorders>
            <w:vAlign w:val="center"/>
          </w:tcPr>
          <w:p w14:paraId="3F6BDF57"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-0.0025</w:t>
            </w:r>
          </w:p>
        </w:tc>
        <w:tc>
          <w:tcPr>
            <w:tcW w:w="466" w:type="pct"/>
            <w:tcBorders>
              <w:top w:val="single" w:sz="4" w:space="0" w:color="auto"/>
            </w:tcBorders>
            <w:vAlign w:val="center"/>
          </w:tcPr>
          <w:p w14:paraId="2863DA62"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-0.0013</w:t>
            </w:r>
          </w:p>
        </w:tc>
        <w:tc>
          <w:tcPr>
            <w:tcW w:w="463" w:type="pct"/>
            <w:tcBorders>
              <w:top w:val="single" w:sz="4" w:space="0" w:color="auto"/>
            </w:tcBorders>
            <w:vAlign w:val="center"/>
          </w:tcPr>
          <w:p w14:paraId="19BDA9E9"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0.0931</w:t>
            </w:r>
          </w:p>
        </w:tc>
        <w:tc>
          <w:tcPr>
            <w:tcW w:w="477" w:type="pct"/>
            <w:tcBorders>
              <w:top w:val="single" w:sz="4" w:space="0" w:color="auto"/>
            </w:tcBorders>
            <w:vAlign w:val="center"/>
          </w:tcPr>
          <w:p w14:paraId="1C2C0DF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-0.1384</w:t>
            </w:r>
          </w:p>
        </w:tc>
        <w:tc>
          <w:tcPr>
            <w:tcW w:w="544" w:type="pct"/>
            <w:tcBorders>
              <w:top w:val="single" w:sz="4" w:space="0" w:color="auto"/>
            </w:tcBorders>
            <w:vAlign w:val="center"/>
          </w:tcPr>
          <w:p w14:paraId="61215B2E"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0.0200</w:t>
            </w:r>
          </w:p>
        </w:tc>
        <w:tc>
          <w:tcPr>
            <w:tcW w:w="452" w:type="pct"/>
            <w:tcBorders>
              <w:top w:val="single" w:sz="4" w:space="0" w:color="auto"/>
            </w:tcBorders>
            <w:vAlign w:val="center"/>
          </w:tcPr>
          <w:p w14:paraId="57B3DD5C"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9.7111</w:t>
            </w:r>
          </w:p>
        </w:tc>
        <w:tc>
          <w:tcPr>
            <w:tcW w:w="522" w:type="pct"/>
            <w:tcBorders>
              <w:top w:val="single" w:sz="4" w:space="0" w:color="auto"/>
            </w:tcBorders>
            <w:vAlign w:val="center"/>
          </w:tcPr>
          <w:p w14:paraId="2A3FF09C"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-0.9267</w:t>
            </w:r>
          </w:p>
        </w:tc>
      </w:tr>
      <w:tr w:rsidR="00D0343F" w:rsidRPr="004A2C2A" w14:paraId="523247E3" w14:textId="77777777" w:rsidTr="00AF06D5">
        <w:trPr>
          <w:trHeight w:val="409"/>
        </w:trPr>
        <w:tc>
          <w:tcPr>
            <w:tcW w:w="993" w:type="pct"/>
            <w:vAlign w:val="center"/>
          </w:tcPr>
          <w:p w14:paraId="44638223"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中美利差</w:t>
            </w:r>
          </w:p>
        </w:tc>
        <w:tc>
          <w:tcPr>
            <w:tcW w:w="620" w:type="pct"/>
            <w:vAlign w:val="center"/>
          </w:tcPr>
          <w:p w14:paraId="38845CBF"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ID</w:t>
            </w:r>
          </w:p>
        </w:tc>
        <w:tc>
          <w:tcPr>
            <w:tcW w:w="463" w:type="pct"/>
            <w:vAlign w:val="center"/>
          </w:tcPr>
          <w:p w14:paraId="48E6D1A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2.7066</w:t>
            </w:r>
          </w:p>
        </w:tc>
        <w:tc>
          <w:tcPr>
            <w:tcW w:w="466" w:type="pct"/>
            <w:vAlign w:val="center"/>
          </w:tcPr>
          <w:p w14:paraId="5A06757F"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2.7617</w:t>
            </w:r>
          </w:p>
        </w:tc>
        <w:tc>
          <w:tcPr>
            <w:tcW w:w="463" w:type="pct"/>
            <w:vAlign w:val="center"/>
          </w:tcPr>
          <w:p w14:paraId="44D663F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5.3486</w:t>
            </w:r>
          </w:p>
        </w:tc>
        <w:tc>
          <w:tcPr>
            <w:tcW w:w="477" w:type="pct"/>
            <w:vAlign w:val="center"/>
          </w:tcPr>
          <w:p w14:paraId="6FC540CF"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0.1351</w:t>
            </w:r>
          </w:p>
        </w:tc>
        <w:tc>
          <w:tcPr>
            <w:tcW w:w="544" w:type="pct"/>
            <w:vAlign w:val="center"/>
          </w:tcPr>
          <w:p w14:paraId="7D5435B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1.4043</w:t>
            </w:r>
          </w:p>
        </w:tc>
        <w:tc>
          <w:tcPr>
            <w:tcW w:w="452" w:type="pct"/>
            <w:vAlign w:val="center"/>
          </w:tcPr>
          <w:p w14:paraId="229E8D45"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2.1941</w:t>
            </w:r>
          </w:p>
        </w:tc>
        <w:tc>
          <w:tcPr>
            <w:tcW w:w="522" w:type="pct"/>
            <w:vAlign w:val="center"/>
          </w:tcPr>
          <w:p w14:paraId="379E626A"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-0.112</w:t>
            </w:r>
            <w:r w:rsidRPr="004A2C2A">
              <w:rPr>
                <w:rFonts w:hint="eastAsia"/>
                <w:bCs/>
                <w:sz w:val="18"/>
                <w:szCs w:val="18"/>
              </w:rPr>
              <w:t>3</w:t>
            </w:r>
          </w:p>
        </w:tc>
      </w:tr>
      <w:tr w:rsidR="00D0343F" w:rsidRPr="004A2C2A" w14:paraId="3166D5E6" w14:textId="77777777" w:rsidTr="00AF06D5">
        <w:trPr>
          <w:trHeight w:val="399"/>
        </w:trPr>
        <w:tc>
          <w:tcPr>
            <w:tcW w:w="993" w:type="pct"/>
            <w:vAlign w:val="center"/>
          </w:tcPr>
          <w:p w14:paraId="6DFC9EF6"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人民币升贬值预期</w:t>
            </w:r>
          </w:p>
        </w:tc>
        <w:tc>
          <w:tcPr>
            <w:tcW w:w="620" w:type="pct"/>
            <w:vAlign w:val="center"/>
          </w:tcPr>
          <w:p w14:paraId="0F6B38DC"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NDF</w:t>
            </w:r>
          </w:p>
        </w:tc>
        <w:tc>
          <w:tcPr>
            <w:tcW w:w="463" w:type="pct"/>
            <w:vAlign w:val="center"/>
          </w:tcPr>
          <w:p w14:paraId="1F70FC35"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6.651</w:t>
            </w:r>
            <w:r w:rsidRPr="004A2C2A">
              <w:rPr>
                <w:rFonts w:hint="eastAsia"/>
                <w:bCs/>
                <w:sz w:val="18"/>
                <w:szCs w:val="18"/>
              </w:rPr>
              <w:t>4</w:t>
            </w:r>
          </w:p>
        </w:tc>
        <w:tc>
          <w:tcPr>
            <w:tcW w:w="466" w:type="pct"/>
            <w:vAlign w:val="center"/>
          </w:tcPr>
          <w:p w14:paraId="4C883E24"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6.666</w:t>
            </w:r>
          </w:p>
        </w:tc>
        <w:tc>
          <w:tcPr>
            <w:tcW w:w="463" w:type="pct"/>
            <w:vAlign w:val="center"/>
          </w:tcPr>
          <w:p w14:paraId="21C4D075"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7.254</w:t>
            </w:r>
          </w:p>
        </w:tc>
        <w:tc>
          <w:tcPr>
            <w:tcW w:w="477" w:type="pct"/>
            <w:vAlign w:val="center"/>
          </w:tcPr>
          <w:p w14:paraId="167DE921"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6.123</w:t>
            </w:r>
          </w:p>
        </w:tc>
        <w:tc>
          <w:tcPr>
            <w:tcW w:w="544" w:type="pct"/>
            <w:vAlign w:val="center"/>
          </w:tcPr>
          <w:p w14:paraId="77655B8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0.328</w:t>
            </w:r>
            <w:r w:rsidRPr="004A2C2A">
              <w:rPr>
                <w:rFonts w:hint="eastAsia"/>
                <w:bCs/>
                <w:sz w:val="18"/>
                <w:szCs w:val="18"/>
              </w:rPr>
              <w:t>2</w:t>
            </w:r>
          </w:p>
        </w:tc>
        <w:tc>
          <w:tcPr>
            <w:tcW w:w="452" w:type="pct"/>
            <w:vAlign w:val="center"/>
          </w:tcPr>
          <w:p w14:paraId="0675EB6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1.6623</w:t>
            </w:r>
          </w:p>
        </w:tc>
        <w:tc>
          <w:tcPr>
            <w:tcW w:w="522" w:type="pct"/>
            <w:vAlign w:val="center"/>
          </w:tcPr>
          <w:p w14:paraId="74D52E87"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0.0713</w:t>
            </w:r>
          </w:p>
        </w:tc>
      </w:tr>
      <w:tr w:rsidR="00D0343F" w:rsidRPr="004A2C2A" w14:paraId="075D5CCB" w14:textId="77777777" w:rsidTr="00AF06D5">
        <w:trPr>
          <w:trHeight w:val="414"/>
        </w:trPr>
        <w:tc>
          <w:tcPr>
            <w:tcW w:w="993" w:type="pct"/>
            <w:vAlign w:val="center"/>
          </w:tcPr>
          <w:p w14:paraId="51289EE9"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经济政策不确定性</w:t>
            </w:r>
          </w:p>
        </w:tc>
        <w:tc>
          <w:tcPr>
            <w:tcW w:w="620" w:type="pct"/>
            <w:vAlign w:val="center"/>
          </w:tcPr>
          <w:p w14:paraId="1E653FFE"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EPU</w:t>
            </w:r>
          </w:p>
        </w:tc>
        <w:tc>
          <w:tcPr>
            <w:tcW w:w="463" w:type="pct"/>
            <w:vAlign w:val="center"/>
          </w:tcPr>
          <w:p w14:paraId="2D54A39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205.0</w:t>
            </w:r>
          </w:p>
        </w:tc>
        <w:tc>
          <w:tcPr>
            <w:tcW w:w="466" w:type="pct"/>
            <w:vAlign w:val="center"/>
          </w:tcPr>
          <w:p w14:paraId="23152AD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148.6</w:t>
            </w:r>
          </w:p>
        </w:tc>
        <w:tc>
          <w:tcPr>
            <w:tcW w:w="463" w:type="pct"/>
            <w:vAlign w:val="center"/>
          </w:tcPr>
          <w:p w14:paraId="7E19DA36" w14:textId="77777777" w:rsidR="002512D8" w:rsidRPr="004A2C2A" w:rsidRDefault="00424DD2" w:rsidP="00F15DDD">
            <w:pPr>
              <w:spacing w:line="240" w:lineRule="auto"/>
              <w:ind w:firstLineChars="0" w:firstLine="0"/>
              <w:jc w:val="center"/>
              <w:textAlignment w:val="center"/>
              <w:rPr>
                <w:b/>
                <w:sz w:val="18"/>
                <w:szCs w:val="18"/>
              </w:rPr>
            </w:pPr>
            <w:r w:rsidRPr="004A2C2A">
              <w:rPr>
                <w:rFonts w:hint="eastAsia"/>
                <w:bCs/>
                <w:sz w:val="18"/>
                <w:szCs w:val="18"/>
              </w:rPr>
              <w:t>661.8</w:t>
            </w:r>
          </w:p>
        </w:tc>
        <w:tc>
          <w:tcPr>
            <w:tcW w:w="477" w:type="pct"/>
            <w:vAlign w:val="center"/>
          </w:tcPr>
          <w:p w14:paraId="40D554D6"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58.9</w:t>
            </w:r>
          </w:p>
        </w:tc>
        <w:tc>
          <w:tcPr>
            <w:tcW w:w="544" w:type="pct"/>
            <w:vAlign w:val="center"/>
          </w:tcPr>
          <w:p w14:paraId="53245C19"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129.6668</w:t>
            </w:r>
          </w:p>
        </w:tc>
        <w:tc>
          <w:tcPr>
            <w:tcW w:w="452" w:type="pct"/>
            <w:vAlign w:val="center"/>
          </w:tcPr>
          <w:p w14:paraId="34EE1A6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4.1203</w:t>
            </w:r>
          </w:p>
        </w:tc>
        <w:tc>
          <w:tcPr>
            <w:tcW w:w="522" w:type="pct"/>
            <w:vAlign w:val="center"/>
          </w:tcPr>
          <w:p w14:paraId="2D789E4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1.2254</w:t>
            </w:r>
          </w:p>
        </w:tc>
      </w:tr>
      <w:tr w:rsidR="00D0343F" w:rsidRPr="004A2C2A" w14:paraId="1F54A137" w14:textId="77777777" w:rsidTr="00AF06D5">
        <w:trPr>
          <w:trHeight w:val="405"/>
        </w:trPr>
        <w:tc>
          <w:tcPr>
            <w:tcW w:w="993" w:type="pct"/>
            <w:vAlign w:val="center"/>
          </w:tcPr>
          <w:p w14:paraId="23BD9E68"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地缘政治风险</w:t>
            </w:r>
          </w:p>
        </w:tc>
        <w:tc>
          <w:tcPr>
            <w:tcW w:w="620" w:type="pct"/>
            <w:vAlign w:val="center"/>
          </w:tcPr>
          <w:p w14:paraId="3C72BA46"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GPR</w:t>
            </w:r>
          </w:p>
        </w:tc>
        <w:tc>
          <w:tcPr>
            <w:tcW w:w="463" w:type="pct"/>
            <w:vAlign w:val="center"/>
          </w:tcPr>
          <w:p w14:paraId="1860D5A4"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122.80</w:t>
            </w:r>
          </w:p>
        </w:tc>
        <w:tc>
          <w:tcPr>
            <w:tcW w:w="466" w:type="pct"/>
            <w:vAlign w:val="center"/>
          </w:tcPr>
          <w:p w14:paraId="55F0AF9F"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113.58</w:t>
            </w:r>
          </w:p>
        </w:tc>
        <w:tc>
          <w:tcPr>
            <w:tcW w:w="463" w:type="pct"/>
            <w:vAlign w:val="center"/>
          </w:tcPr>
          <w:p w14:paraId="0D8E45B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380.60</w:t>
            </w:r>
          </w:p>
        </w:tc>
        <w:tc>
          <w:tcPr>
            <w:tcW w:w="477" w:type="pct"/>
            <w:vAlign w:val="center"/>
          </w:tcPr>
          <w:p w14:paraId="26149CD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41.99</w:t>
            </w:r>
          </w:p>
        </w:tc>
        <w:tc>
          <w:tcPr>
            <w:tcW w:w="544" w:type="pct"/>
            <w:vAlign w:val="center"/>
          </w:tcPr>
          <w:p w14:paraId="7FD11859"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55.8991</w:t>
            </w:r>
          </w:p>
        </w:tc>
        <w:tc>
          <w:tcPr>
            <w:tcW w:w="452" w:type="pct"/>
            <w:vAlign w:val="center"/>
          </w:tcPr>
          <w:p w14:paraId="13A01C66"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5.981</w:t>
            </w:r>
            <w:r w:rsidRPr="004A2C2A">
              <w:rPr>
                <w:rFonts w:hint="eastAsia"/>
                <w:bCs/>
                <w:sz w:val="18"/>
                <w:szCs w:val="18"/>
              </w:rPr>
              <w:t>8</w:t>
            </w:r>
          </w:p>
        </w:tc>
        <w:tc>
          <w:tcPr>
            <w:tcW w:w="522" w:type="pct"/>
            <w:vAlign w:val="center"/>
          </w:tcPr>
          <w:p w14:paraId="006E3785"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1.3533</w:t>
            </w:r>
          </w:p>
        </w:tc>
      </w:tr>
      <w:tr w:rsidR="00D0343F" w:rsidRPr="004A2C2A" w14:paraId="2568CFE0" w14:textId="77777777" w:rsidTr="00AF06D5">
        <w:trPr>
          <w:trHeight w:val="411"/>
        </w:trPr>
        <w:tc>
          <w:tcPr>
            <w:tcW w:w="993" w:type="pct"/>
            <w:vAlign w:val="center"/>
          </w:tcPr>
          <w:p w14:paraId="0CB981CB"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国内投资者关注度</w:t>
            </w:r>
          </w:p>
        </w:tc>
        <w:tc>
          <w:tcPr>
            <w:tcW w:w="620" w:type="pct"/>
            <w:vAlign w:val="center"/>
          </w:tcPr>
          <w:p w14:paraId="43B4FA50"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CNH-Baidu</w:t>
            </w:r>
          </w:p>
        </w:tc>
        <w:tc>
          <w:tcPr>
            <w:tcW w:w="463" w:type="pct"/>
            <w:vAlign w:val="center"/>
          </w:tcPr>
          <w:p w14:paraId="10F39BAE"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273.7</w:t>
            </w:r>
          </w:p>
        </w:tc>
        <w:tc>
          <w:tcPr>
            <w:tcW w:w="466" w:type="pct"/>
            <w:vAlign w:val="center"/>
          </w:tcPr>
          <w:p w14:paraId="6CA81E7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264.0</w:t>
            </w:r>
          </w:p>
        </w:tc>
        <w:tc>
          <w:tcPr>
            <w:tcW w:w="463" w:type="pct"/>
            <w:vAlign w:val="center"/>
          </w:tcPr>
          <w:p w14:paraId="08A5237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942.0</w:t>
            </w:r>
          </w:p>
        </w:tc>
        <w:tc>
          <w:tcPr>
            <w:tcW w:w="477" w:type="pct"/>
            <w:vAlign w:val="center"/>
          </w:tcPr>
          <w:p w14:paraId="424EE958"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102.0</w:t>
            </w:r>
          </w:p>
        </w:tc>
        <w:tc>
          <w:tcPr>
            <w:tcW w:w="544" w:type="pct"/>
            <w:vAlign w:val="center"/>
          </w:tcPr>
          <w:p w14:paraId="685AAFA1"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110.279</w:t>
            </w:r>
          </w:p>
        </w:tc>
        <w:tc>
          <w:tcPr>
            <w:tcW w:w="452" w:type="pct"/>
            <w:vAlign w:val="center"/>
          </w:tcPr>
          <w:p w14:paraId="7A10AB72"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13.5194</w:t>
            </w:r>
          </w:p>
        </w:tc>
        <w:tc>
          <w:tcPr>
            <w:tcW w:w="522" w:type="pct"/>
            <w:vAlign w:val="center"/>
          </w:tcPr>
          <w:p w14:paraId="6C8E2D32"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2.032</w:t>
            </w:r>
            <w:r w:rsidRPr="004A2C2A">
              <w:rPr>
                <w:rFonts w:hint="eastAsia"/>
                <w:bCs/>
                <w:sz w:val="18"/>
                <w:szCs w:val="18"/>
              </w:rPr>
              <w:t>2</w:t>
            </w:r>
          </w:p>
        </w:tc>
      </w:tr>
      <w:tr w:rsidR="00D0343F" w:rsidRPr="009A2658" w14:paraId="28B9FAF5" w14:textId="77777777" w:rsidTr="00AF06D5">
        <w:trPr>
          <w:trHeight w:val="417"/>
        </w:trPr>
        <w:tc>
          <w:tcPr>
            <w:tcW w:w="993" w:type="pct"/>
            <w:vAlign w:val="center"/>
          </w:tcPr>
          <w:p w14:paraId="40FB8FD4"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国际投资者关注度</w:t>
            </w:r>
          </w:p>
        </w:tc>
        <w:tc>
          <w:tcPr>
            <w:tcW w:w="620" w:type="pct"/>
            <w:vAlign w:val="center"/>
          </w:tcPr>
          <w:p w14:paraId="0DC98E7C"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CNH-Google</w:t>
            </w:r>
          </w:p>
        </w:tc>
        <w:tc>
          <w:tcPr>
            <w:tcW w:w="463" w:type="pct"/>
            <w:vAlign w:val="center"/>
          </w:tcPr>
          <w:p w14:paraId="086BF60E"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17.9</w:t>
            </w:r>
          </w:p>
        </w:tc>
        <w:tc>
          <w:tcPr>
            <w:tcW w:w="466" w:type="pct"/>
            <w:vAlign w:val="center"/>
          </w:tcPr>
          <w:p w14:paraId="30CB23BF"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17.0</w:t>
            </w:r>
          </w:p>
        </w:tc>
        <w:tc>
          <w:tcPr>
            <w:tcW w:w="463" w:type="pct"/>
            <w:vAlign w:val="center"/>
          </w:tcPr>
          <w:p w14:paraId="7C2713C0"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100.0</w:t>
            </w:r>
          </w:p>
        </w:tc>
        <w:tc>
          <w:tcPr>
            <w:tcW w:w="477" w:type="pct"/>
            <w:vAlign w:val="center"/>
          </w:tcPr>
          <w:p w14:paraId="022DA3E4"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6.0</w:t>
            </w:r>
          </w:p>
        </w:tc>
        <w:tc>
          <w:tcPr>
            <w:tcW w:w="544" w:type="pct"/>
            <w:vAlign w:val="center"/>
          </w:tcPr>
          <w:p w14:paraId="2BF50E1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9.4188</w:t>
            </w:r>
          </w:p>
        </w:tc>
        <w:tc>
          <w:tcPr>
            <w:tcW w:w="452" w:type="pct"/>
            <w:vAlign w:val="center"/>
          </w:tcPr>
          <w:p w14:paraId="732B2F6C"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52.852</w:t>
            </w:r>
          </w:p>
        </w:tc>
        <w:tc>
          <w:tcPr>
            <w:tcW w:w="522" w:type="pct"/>
            <w:vAlign w:val="center"/>
          </w:tcPr>
          <w:p w14:paraId="5AC73E9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6.082</w:t>
            </w:r>
            <w:r w:rsidRPr="004A2C2A">
              <w:rPr>
                <w:rFonts w:hint="eastAsia"/>
                <w:bCs/>
                <w:sz w:val="18"/>
                <w:szCs w:val="18"/>
              </w:rPr>
              <w:t>4</w:t>
            </w:r>
          </w:p>
        </w:tc>
      </w:tr>
      <w:tr w:rsidR="00D0343F" w:rsidRPr="004A2C2A" w14:paraId="5FAD39C6" w14:textId="77777777" w:rsidTr="00AF06D5">
        <w:trPr>
          <w:trHeight w:val="259"/>
        </w:trPr>
        <w:tc>
          <w:tcPr>
            <w:tcW w:w="993" w:type="pct"/>
            <w:vAlign w:val="center"/>
          </w:tcPr>
          <w:p w14:paraId="01DD4E64"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人民币兑美元汇率中间价机制改革</w:t>
            </w:r>
          </w:p>
        </w:tc>
        <w:tc>
          <w:tcPr>
            <w:tcW w:w="620" w:type="pct"/>
            <w:vAlign w:val="center"/>
          </w:tcPr>
          <w:p w14:paraId="22150D73"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X1</w:t>
            </w:r>
          </w:p>
        </w:tc>
        <w:tc>
          <w:tcPr>
            <w:tcW w:w="463" w:type="pct"/>
            <w:vAlign w:val="center"/>
          </w:tcPr>
          <w:p w14:paraId="1CB1B452"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1.045</w:t>
            </w:r>
          </w:p>
        </w:tc>
        <w:tc>
          <w:tcPr>
            <w:tcW w:w="466" w:type="pct"/>
            <w:vAlign w:val="center"/>
          </w:tcPr>
          <w:p w14:paraId="685F7977"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1.000</w:t>
            </w:r>
          </w:p>
        </w:tc>
        <w:tc>
          <w:tcPr>
            <w:tcW w:w="463" w:type="pct"/>
            <w:vAlign w:val="center"/>
          </w:tcPr>
          <w:p w14:paraId="31C3B59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3.000</w:t>
            </w:r>
          </w:p>
        </w:tc>
        <w:tc>
          <w:tcPr>
            <w:tcW w:w="477" w:type="pct"/>
            <w:vAlign w:val="center"/>
          </w:tcPr>
          <w:p w14:paraId="3C1AB9F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0.000</w:t>
            </w:r>
          </w:p>
        </w:tc>
        <w:tc>
          <w:tcPr>
            <w:tcW w:w="544" w:type="pct"/>
            <w:vAlign w:val="center"/>
          </w:tcPr>
          <w:p w14:paraId="685C736B"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0.9615</w:t>
            </w:r>
          </w:p>
        </w:tc>
        <w:tc>
          <w:tcPr>
            <w:tcW w:w="452" w:type="pct"/>
            <w:vAlign w:val="center"/>
          </w:tcPr>
          <w:p w14:paraId="3DC4CF66"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2.1221</w:t>
            </w:r>
          </w:p>
        </w:tc>
        <w:tc>
          <w:tcPr>
            <w:tcW w:w="522" w:type="pct"/>
            <w:vAlign w:val="center"/>
          </w:tcPr>
          <w:p w14:paraId="42555BB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0.4627</w:t>
            </w:r>
          </w:p>
        </w:tc>
      </w:tr>
      <w:tr w:rsidR="00D0343F" w:rsidRPr="004A2C2A" w14:paraId="588E3332" w14:textId="77777777" w:rsidTr="00AF5534">
        <w:trPr>
          <w:trHeight w:val="349"/>
        </w:trPr>
        <w:tc>
          <w:tcPr>
            <w:tcW w:w="993" w:type="pct"/>
            <w:tcBorders>
              <w:bottom w:val="single" w:sz="12" w:space="0" w:color="auto"/>
            </w:tcBorders>
            <w:vAlign w:val="center"/>
          </w:tcPr>
          <w:p w14:paraId="138E5226" w14:textId="77777777" w:rsidR="002512D8" w:rsidRPr="004A2C2A" w:rsidRDefault="00424DD2" w:rsidP="00F15DDD">
            <w:pPr>
              <w:spacing w:line="240" w:lineRule="auto"/>
              <w:ind w:firstLineChars="0" w:firstLine="0"/>
              <w:jc w:val="center"/>
              <w:textAlignment w:val="center"/>
              <w:rPr>
                <w:bCs/>
                <w:sz w:val="18"/>
                <w:szCs w:val="18"/>
              </w:rPr>
            </w:pPr>
            <w:r w:rsidRPr="004A2C2A">
              <w:rPr>
                <w:rFonts w:hint="eastAsia"/>
                <w:bCs/>
                <w:sz w:val="18"/>
                <w:szCs w:val="18"/>
              </w:rPr>
              <w:t>人民币国际化进程</w:t>
            </w:r>
          </w:p>
        </w:tc>
        <w:tc>
          <w:tcPr>
            <w:tcW w:w="620" w:type="pct"/>
            <w:tcBorders>
              <w:bottom w:val="single" w:sz="12" w:space="0" w:color="auto"/>
            </w:tcBorders>
            <w:vAlign w:val="center"/>
          </w:tcPr>
          <w:p w14:paraId="55F240E3" w14:textId="77777777" w:rsidR="002512D8" w:rsidRPr="004A2C2A" w:rsidRDefault="00424DD2" w:rsidP="00F15DDD">
            <w:pPr>
              <w:spacing w:line="240" w:lineRule="auto"/>
              <w:ind w:firstLineChars="0" w:firstLine="0"/>
              <w:jc w:val="center"/>
              <w:textAlignment w:val="center"/>
              <w:rPr>
                <w:bCs/>
                <w:sz w:val="16"/>
                <w:szCs w:val="16"/>
              </w:rPr>
            </w:pPr>
            <w:r w:rsidRPr="004A2C2A">
              <w:rPr>
                <w:rFonts w:hint="eastAsia"/>
                <w:bCs/>
                <w:sz w:val="16"/>
                <w:szCs w:val="16"/>
              </w:rPr>
              <w:t>X2</w:t>
            </w:r>
          </w:p>
        </w:tc>
        <w:tc>
          <w:tcPr>
            <w:tcW w:w="463" w:type="pct"/>
            <w:tcBorders>
              <w:bottom w:val="single" w:sz="12" w:space="0" w:color="auto"/>
            </w:tcBorders>
            <w:vAlign w:val="center"/>
          </w:tcPr>
          <w:p w14:paraId="49B03070"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1.127</w:t>
            </w:r>
          </w:p>
        </w:tc>
        <w:tc>
          <w:tcPr>
            <w:tcW w:w="466" w:type="pct"/>
            <w:tcBorders>
              <w:bottom w:val="single" w:sz="12" w:space="0" w:color="auto"/>
            </w:tcBorders>
            <w:vAlign w:val="center"/>
          </w:tcPr>
          <w:p w14:paraId="073F08B7"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2.000</w:t>
            </w:r>
          </w:p>
        </w:tc>
        <w:tc>
          <w:tcPr>
            <w:tcW w:w="463" w:type="pct"/>
            <w:tcBorders>
              <w:bottom w:val="single" w:sz="12" w:space="0" w:color="auto"/>
            </w:tcBorders>
            <w:vAlign w:val="center"/>
          </w:tcPr>
          <w:p w14:paraId="183E07A9"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2.000</w:t>
            </w:r>
          </w:p>
        </w:tc>
        <w:tc>
          <w:tcPr>
            <w:tcW w:w="477" w:type="pct"/>
            <w:tcBorders>
              <w:bottom w:val="single" w:sz="12" w:space="0" w:color="auto"/>
            </w:tcBorders>
            <w:vAlign w:val="center"/>
          </w:tcPr>
          <w:p w14:paraId="1EB89432"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0.000</w:t>
            </w:r>
          </w:p>
        </w:tc>
        <w:tc>
          <w:tcPr>
            <w:tcW w:w="544" w:type="pct"/>
            <w:tcBorders>
              <w:bottom w:val="single" w:sz="12" w:space="0" w:color="auto"/>
            </w:tcBorders>
            <w:vAlign w:val="center"/>
          </w:tcPr>
          <w:p w14:paraId="2A1A05AD"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0.9492</w:t>
            </w:r>
          </w:p>
        </w:tc>
        <w:tc>
          <w:tcPr>
            <w:tcW w:w="452" w:type="pct"/>
            <w:tcBorders>
              <w:bottom w:val="single" w:sz="12" w:space="0" w:color="auto"/>
            </w:tcBorders>
            <w:vAlign w:val="center"/>
          </w:tcPr>
          <w:p w14:paraId="43588A93"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1.147</w:t>
            </w:r>
            <w:r w:rsidRPr="004A2C2A">
              <w:rPr>
                <w:rFonts w:hint="eastAsia"/>
                <w:bCs/>
                <w:sz w:val="18"/>
                <w:szCs w:val="18"/>
              </w:rPr>
              <w:t>7</w:t>
            </w:r>
          </w:p>
        </w:tc>
        <w:tc>
          <w:tcPr>
            <w:tcW w:w="522" w:type="pct"/>
            <w:tcBorders>
              <w:bottom w:val="single" w:sz="12" w:space="0" w:color="auto"/>
            </w:tcBorders>
            <w:vAlign w:val="center"/>
          </w:tcPr>
          <w:p w14:paraId="36C9033E" w14:textId="77777777" w:rsidR="002512D8" w:rsidRPr="004A2C2A" w:rsidRDefault="00424DD2" w:rsidP="00F15DDD">
            <w:pPr>
              <w:spacing w:line="240" w:lineRule="auto"/>
              <w:ind w:firstLineChars="0" w:firstLine="0"/>
              <w:jc w:val="center"/>
              <w:textAlignment w:val="center"/>
              <w:rPr>
                <w:bCs/>
                <w:sz w:val="18"/>
                <w:szCs w:val="18"/>
              </w:rPr>
            </w:pPr>
            <w:r w:rsidRPr="004A2C2A">
              <w:rPr>
                <w:bCs/>
                <w:sz w:val="18"/>
                <w:szCs w:val="18"/>
              </w:rPr>
              <w:t>-0.252</w:t>
            </w:r>
            <w:r w:rsidRPr="004A2C2A">
              <w:rPr>
                <w:rFonts w:hint="eastAsia"/>
                <w:bCs/>
                <w:sz w:val="18"/>
                <w:szCs w:val="18"/>
              </w:rPr>
              <w:t>2</w:t>
            </w:r>
          </w:p>
        </w:tc>
      </w:tr>
    </w:tbl>
    <w:p w14:paraId="624EDE8D" w14:textId="77777777" w:rsidR="002512D8" w:rsidRDefault="00424DD2">
      <w:pPr>
        <w:ind w:firstLine="420"/>
        <w:textAlignment w:val="center"/>
        <w:rPr>
          <w:bCs/>
        </w:rPr>
      </w:pPr>
      <w:r>
        <w:rPr>
          <w:rFonts w:hint="eastAsia"/>
          <w:bCs/>
        </w:rPr>
        <w:t>由上表描述性统计结果可以看出</w:t>
      </w:r>
      <w:r>
        <w:rPr>
          <w:rFonts w:hint="eastAsia"/>
          <w:bCs/>
        </w:rPr>
        <w:t>CNY-CNH</w:t>
      </w:r>
      <w:r>
        <w:rPr>
          <w:rFonts w:hint="eastAsia"/>
          <w:bCs/>
        </w:rPr>
        <w:t>价差平均值为</w:t>
      </w:r>
      <w:r>
        <w:rPr>
          <w:bCs/>
        </w:rPr>
        <w:t>-0.0025</w:t>
      </w:r>
      <w:r>
        <w:rPr>
          <w:rFonts w:hint="eastAsia"/>
          <w:bCs/>
        </w:rPr>
        <w:t>，表明一般情况下在岸人民币汇率</w:t>
      </w:r>
      <w:r>
        <w:rPr>
          <w:rFonts w:hint="eastAsia"/>
          <w:bCs/>
        </w:rPr>
        <w:t>(CNY)</w:t>
      </w:r>
      <w:r>
        <w:rPr>
          <w:rFonts w:hint="eastAsia"/>
          <w:bCs/>
        </w:rPr>
        <w:t>高于离岸人民币汇率</w:t>
      </w:r>
      <w:r>
        <w:rPr>
          <w:rFonts w:hint="eastAsia"/>
          <w:bCs/>
        </w:rPr>
        <w:t>(CNH)</w:t>
      </w:r>
      <w:r>
        <w:rPr>
          <w:rFonts w:hint="eastAsia"/>
          <w:bCs/>
        </w:rPr>
        <w:t>，</w:t>
      </w:r>
      <w:r>
        <w:rPr>
          <w:rFonts w:hint="eastAsia"/>
          <w:bCs/>
        </w:rPr>
        <w:t>CNY-CNH</w:t>
      </w:r>
      <w:r>
        <w:rPr>
          <w:rFonts w:hint="eastAsia"/>
          <w:bCs/>
        </w:rPr>
        <w:t>价差最大值为</w:t>
      </w:r>
      <w:r>
        <w:rPr>
          <w:bCs/>
        </w:rPr>
        <w:t>0.0931</w:t>
      </w:r>
      <w:r>
        <w:rPr>
          <w:rFonts w:hint="eastAsia"/>
          <w:bCs/>
        </w:rPr>
        <w:t>，最小值为</w:t>
      </w:r>
      <w:r>
        <w:rPr>
          <w:bCs/>
        </w:rPr>
        <w:t>-0.1384</w:t>
      </w:r>
      <w:r>
        <w:rPr>
          <w:rFonts w:hint="eastAsia"/>
          <w:bCs/>
        </w:rPr>
        <w:t>，说明</w:t>
      </w:r>
      <w:r>
        <w:rPr>
          <w:rFonts w:hint="eastAsia"/>
          <w:bCs/>
        </w:rPr>
        <w:t>CNY-CNH</w:t>
      </w:r>
      <w:r>
        <w:rPr>
          <w:rFonts w:hint="eastAsia"/>
          <w:bCs/>
        </w:rPr>
        <w:t>价差既有正值又有负值，即既有在岸人民币汇率高于离岸人民币汇率的情况又有在岸人民币汇率低于离岸人民币汇率的情况。</w:t>
      </w:r>
      <w:r>
        <w:rPr>
          <w:rFonts w:hint="eastAsia"/>
          <w:bCs/>
        </w:rPr>
        <w:t>CNY-CNH</w:t>
      </w:r>
      <w:r>
        <w:rPr>
          <w:rFonts w:hint="eastAsia"/>
          <w:bCs/>
        </w:rPr>
        <w:t>价差偏度小于</w:t>
      </w:r>
      <w:r>
        <w:rPr>
          <w:rFonts w:hint="eastAsia"/>
          <w:bCs/>
        </w:rPr>
        <w:t>0</w:t>
      </w:r>
      <w:r>
        <w:rPr>
          <w:rFonts w:hint="eastAsia"/>
          <w:bCs/>
        </w:rPr>
        <w:t>，峰度大于</w:t>
      </w:r>
      <w:r>
        <w:rPr>
          <w:rFonts w:hint="eastAsia"/>
          <w:bCs/>
        </w:rPr>
        <w:t>3</w:t>
      </w:r>
      <w:r>
        <w:rPr>
          <w:rFonts w:hint="eastAsia"/>
          <w:bCs/>
        </w:rPr>
        <w:t>，说明</w:t>
      </w:r>
      <w:r>
        <w:rPr>
          <w:rFonts w:hint="eastAsia"/>
          <w:bCs/>
        </w:rPr>
        <w:t>CNY-CNH</w:t>
      </w:r>
      <w:r>
        <w:rPr>
          <w:rFonts w:hint="eastAsia"/>
          <w:bCs/>
        </w:rPr>
        <w:t>价差呈现尖峰厚尾特征。</w:t>
      </w:r>
    </w:p>
    <w:p w14:paraId="06BCBBD1" w14:textId="7F1D88D7" w:rsidR="002512D8" w:rsidRDefault="00AD3EF6" w:rsidP="00F15DDD">
      <w:pPr>
        <w:pStyle w:val="2"/>
      </w:pPr>
      <w:r>
        <w:rPr>
          <w:rFonts w:hint="eastAsia"/>
        </w:rPr>
        <w:t>（二）</w:t>
      </w:r>
      <w:r w:rsidR="00424DD2">
        <w:rPr>
          <w:rFonts w:hint="eastAsia"/>
        </w:rPr>
        <w:t>平稳性检验与</w:t>
      </w:r>
      <w:r w:rsidR="00424DD2" w:rsidRPr="00046775">
        <w:rPr>
          <w:rFonts w:hint="eastAsia"/>
          <w:b w:val="0"/>
          <w:bCs/>
        </w:rPr>
        <w:t>ARCH</w:t>
      </w:r>
      <w:r w:rsidR="00424DD2">
        <w:rPr>
          <w:rFonts w:hint="eastAsia"/>
        </w:rPr>
        <w:t>效应检验</w:t>
      </w:r>
    </w:p>
    <w:p w14:paraId="117DE651" w14:textId="77777777" w:rsidR="002512D8" w:rsidRDefault="00424DD2">
      <w:pPr>
        <w:ind w:firstLine="420"/>
      </w:pPr>
      <w:r>
        <w:rPr>
          <w:rFonts w:hint="eastAsia"/>
        </w:rPr>
        <w:t>本文对</w:t>
      </w:r>
      <w:r>
        <w:rPr>
          <w:rFonts w:hint="eastAsia"/>
        </w:rPr>
        <w:t>CNY-CNH</w:t>
      </w:r>
      <w:r>
        <w:rPr>
          <w:rFonts w:hint="eastAsia"/>
        </w:rPr>
        <w:t>价差序列进行平稳性检验，由表</w:t>
      </w:r>
      <w:r>
        <w:rPr>
          <w:rFonts w:hint="eastAsia"/>
        </w:rPr>
        <w:t>4</w:t>
      </w:r>
      <w:r>
        <w:rPr>
          <w:rFonts w:hint="eastAsia"/>
        </w:rPr>
        <w:t>结果可以看到平稳性经验结果的</w:t>
      </w:r>
      <w:r>
        <w:rPr>
          <w:rFonts w:hint="eastAsia"/>
        </w:rPr>
        <w:t>P</w:t>
      </w:r>
      <w:r>
        <w:rPr>
          <w:rFonts w:hint="eastAsia"/>
        </w:rPr>
        <w:t>值为</w:t>
      </w:r>
      <w:r>
        <w:rPr>
          <w:rFonts w:hint="eastAsia"/>
        </w:rPr>
        <w:t>0.01</w:t>
      </w:r>
      <w:r>
        <w:rPr>
          <w:rFonts w:hint="eastAsia"/>
        </w:rPr>
        <w:t>，因此认为</w:t>
      </w:r>
      <w:r>
        <w:rPr>
          <w:rFonts w:hint="eastAsia"/>
        </w:rPr>
        <w:t>CNY-CNH</w:t>
      </w:r>
      <w:r>
        <w:rPr>
          <w:rFonts w:hint="eastAsia"/>
        </w:rPr>
        <w:t>价差序列是平稳的。</w:t>
      </w:r>
    </w:p>
    <w:p w14:paraId="25F97D68" w14:textId="77777777" w:rsidR="002512D8" w:rsidRPr="00F15DDD" w:rsidRDefault="00424DD2">
      <w:pPr>
        <w:ind w:firstLine="420"/>
        <w:jc w:val="center"/>
        <w:rPr>
          <w:rFonts w:ascii="黑体" w:eastAsia="黑体" w:hAnsi="黑体"/>
        </w:rPr>
      </w:pPr>
      <w:r w:rsidRPr="00F15DDD">
        <w:rPr>
          <w:rFonts w:ascii="黑体" w:eastAsia="黑体" w:hAnsi="黑体" w:hint="eastAsia"/>
        </w:rPr>
        <w:lastRenderedPageBreak/>
        <w:t>表4 CNY-CNH价差平稳性检验结果</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2081"/>
        <w:gridCol w:w="2075"/>
        <w:gridCol w:w="2071"/>
      </w:tblGrid>
      <w:tr w:rsidR="002512D8" w14:paraId="61FC5923" w14:textId="77777777" w:rsidTr="000A3CF0">
        <w:trPr>
          <w:jc w:val="center"/>
        </w:trPr>
        <w:tc>
          <w:tcPr>
            <w:tcW w:w="2123" w:type="dxa"/>
            <w:tcBorders>
              <w:top w:val="single" w:sz="12" w:space="0" w:color="auto"/>
              <w:bottom w:val="single" w:sz="4" w:space="0" w:color="auto"/>
            </w:tcBorders>
          </w:tcPr>
          <w:p w14:paraId="6F4CB94C" w14:textId="77777777" w:rsidR="002512D8" w:rsidRDefault="00424DD2" w:rsidP="00F15DDD">
            <w:pPr>
              <w:spacing w:line="240" w:lineRule="auto"/>
              <w:ind w:firstLineChars="0" w:firstLine="0"/>
              <w:jc w:val="center"/>
            </w:pPr>
            <w:r>
              <w:rPr>
                <w:rFonts w:hint="eastAsia"/>
              </w:rPr>
              <w:t>变量</w:t>
            </w:r>
          </w:p>
        </w:tc>
        <w:tc>
          <w:tcPr>
            <w:tcW w:w="2123" w:type="dxa"/>
            <w:tcBorders>
              <w:top w:val="single" w:sz="12" w:space="0" w:color="auto"/>
              <w:bottom w:val="single" w:sz="4" w:space="0" w:color="auto"/>
            </w:tcBorders>
          </w:tcPr>
          <w:p w14:paraId="6D6D937D" w14:textId="77777777" w:rsidR="002512D8" w:rsidRDefault="00424DD2" w:rsidP="00F15DDD">
            <w:pPr>
              <w:spacing w:line="240" w:lineRule="auto"/>
              <w:ind w:firstLineChars="0" w:firstLine="0"/>
              <w:jc w:val="center"/>
            </w:pPr>
            <w:r>
              <w:rPr>
                <w:rFonts w:hint="eastAsia"/>
              </w:rPr>
              <w:t>DF</w:t>
            </w:r>
          </w:p>
        </w:tc>
        <w:tc>
          <w:tcPr>
            <w:tcW w:w="2123" w:type="dxa"/>
            <w:tcBorders>
              <w:top w:val="single" w:sz="12" w:space="0" w:color="auto"/>
              <w:bottom w:val="single" w:sz="4" w:space="0" w:color="auto"/>
            </w:tcBorders>
          </w:tcPr>
          <w:p w14:paraId="1FC01E6B" w14:textId="77777777" w:rsidR="002512D8" w:rsidRDefault="00424DD2" w:rsidP="00F15DDD">
            <w:pPr>
              <w:spacing w:line="240" w:lineRule="auto"/>
              <w:ind w:firstLineChars="0" w:firstLine="0"/>
              <w:jc w:val="center"/>
            </w:pPr>
            <w:r>
              <w:rPr>
                <w:rFonts w:hint="eastAsia"/>
              </w:rPr>
              <w:t>P</w:t>
            </w:r>
            <w:r>
              <w:rPr>
                <w:rFonts w:hint="eastAsia"/>
              </w:rPr>
              <w:t>值</w:t>
            </w:r>
          </w:p>
        </w:tc>
        <w:tc>
          <w:tcPr>
            <w:tcW w:w="2124" w:type="dxa"/>
            <w:tcBorders>
              <w:top w:val="single" w:sz="12" w:space="0" w:color="auto"/>
              <w:bottom w:val="single" w:sz="4" w:space="0" w:color="auto"/>
            </w:tcBorders>
          </w:tcPr>
          <w:p w14:paraId="285BBA07" w14:textId="77777777" w:rsidR="002512D8" w:rsidRDefault="00424DD2" w:rsidP="00F15DDD">
            <w:pPr>
              <w:spacing w:line="240" w:lineRule="auto"/>
              <w:ind w:firstLineChars="0" w:firstLine="0"/>
              <w:jc w:val="center"/>
            </w:pPr>
            <w:r>
              <w:rPr>
                <w:rFonts w:hint="eastAsia"/>
              </w:rPr>
              <w:t>平稳性</w:t>
            </w:r>
          </w:p>
        </w:tc>
      </w:tr>
      <w:tr w:rsidR="002512D8" w14:paraId="428863E5" w14:textId="77777777" w:rsidTr="000A3CF0">
        <w:trPr>
          <w:jc w:val="center"/>
        </w:trPr>
        <w:tc>
          <w:tcPr>
            <w:tcW w:w="2123" w:type="dxa"/>
            <w:tcBorders>
              <w:top w:val="single" w:sz="4" w:space="0" w:color="auto"/>
              <w:bottom w:val="single" w:sz="12" w:space="0" w:color="auto"/>
            </w:tcBorders>
          </w:tcPr>
          <w:p w14:paraId="28F46F34" w14:textId="77777777" w:rsidR="002512D8" w:rsidRDefault="00424DD2" w:rsidP="00F15DDD">
            <w:pPr>
              <w:spacing w:line="240" w:lineRule="auto"/>
              <w:ind w:firstLineChars="0" w:firstLine="0"/>
              <w:jc w:val="center"/>
            </w:pPr>
            <w:r>
              <w:rPr>
                <w:rFonts w:hint="eastAsia"/>
              </w:rPr>
              <w:t>CNY-CNH</w:t>
            </w:r>
          </w:p>
        </w:tc>
        <w:tc>
          <w:tcPr>
            <w:tcW w:w="2123" w:type="dxa"/>
            <w:tcBorders>
              <w:top w:val="single" w:sz="4" w:space="0" w:color="auto"/>
              <w:bottom w:val="single" w:sz="12" w:space="0" w:color="auto"/>
            </w:tcBorders>
          </w:tcPr>
          <w:p w14:paraId="445AEF6A" w14:textId="77777777" w:rsidR="002512D8" w:rsidRDefault="00424DD2" w:rsidP="00F15DDD">
            <w:pPr>
              <w:spacing w:line="240" w:lineRule="auto"/>
              <w:ind w:firstLineChars="0" w:firstLine="0"/>
              <w:jc w:val="center"/>
            </w:pPr>
            <w:r>
              <w:rPr>
                <w:rFonts w:hint="eastAsia"/>
              </w:rPr>
              <w:t>-6.2774</w:t>
            </w:r>
          </w:p>
        </w:tc>
        <w:tc>
          <w:tcPr>
            <w:tcW w:w="2123" w:type="dxa"/>
            <w:tcBorders>
              <w:top w:val="single" w:sz="4" w:space="0" w:color="auto"/>
              <w:bottom w:val="single" w:sz="12" w:space="0" w:color="auto"/>
            </w:tcBorders>
          </w:tcPr>
          <w:p w14:paraId="6F9F80F5" w14:textId="77777777" w:rsidR="002512D8" w:rsidRDefault="00424DD2" w:rsidP="00F15DDD">
            <w:pPr>
              <w:spacing w:line="240" w:lineRule="auto"/>
              <w:ind w:firstLineChars="0" w:firstLine="0"/>
              <w:jc w:val="center"/>
            </w:pPr>
            <w:r>
              <w:rPr>
                <w:rFonts w:hint="eastAsia"/>
              </w:rPr>
              <w:t>0.01</w:t>
            </w:r>
          </w:p>
        </w:tc>
        <w:tc>
          <w:tcPr>
            <w:tcW w:w="2124" w:type="dxa"/>
            <w:tcBorders>
              <w:top w:val="single" w:sz="4" w:space="0" w:color="auto"/>
              <w:bottom w:val="single" w:sz="12" w:space="0" w:color="auto"/>
            </w:tcBorders>
          </w:tcPr>
          <w:p w14:paraId="552333D5" w14:textId="77777777" w:rsidR="002512D8" w:rsidRDefault="00424DD2" w:rsidP="00F15DDD">
            <w:pPr>
              <w:spacing w:line="240" w:lineRule="auto"/>
              <w:ind w:firstLineChars="0" w:firstLine="0"/>
              <w:jc w:val="center"/>
            </w:pPr>
            <w:r>
              <w:rPr>
                <w:rFonts w:hint="eastAsia"/>
              </w:rPr>
              <w:t>平稳</w:t>
            </w:r>
          </w:p>
        </w:tc>
      </w:tr>
    </w:tbl>
    <w:p w14:paraId="056D2927" w14:textId="77777777" w:rsidR="002512D8" w:rsidRDefault="00424DD2">
      <w:pPr>
        <w:ind w:firstLine="420"/>
      </w:pPr>
      <w:r>
        <w:rPr>
          <w:rFonts w:hint="eastAsia"/>
        </w:rPr>
        <w:t>要进行</w:t>
      </w:r>
      <w:r>
        <w:rPr>
          <w:rFonts w:hint="eastAsia"/>
        </w:rPr>
        <w:t>GARCH-MIDAS</w:t>
      </w:r>
      <w:r>
        <w:rPr>
          <w:rFonts w:hint="eastAsia"/>
        </w:rPr>
        <w:t>波动分析还要进行</w:t>
      </w:r>
      <w:r>
        <w:rPr>
          <w:rFonts w:hint="eastAsia"/>
        </w:rPr>
        <w:t>ARCH</w:t>
      </w:r>
      <w:r>
        <w:rPr>
          <w:rFonts w:hint="eastAsia"/>
        </w:rPr>
        <w:t>效应检验，检验结果如表</w:t>
      </w:r>
      <w:r>
        <w:rPr>
          <w:rFonts w:hint="eastAsia"/>
        </w:rPr>
        <w:t>5</w:t>
      </w:r>
      <w:r>
        <w:rPr>
          <w:rFonts w:hint="eastAsia"/>
        </w:rPr>
        <w:t>所示。</w:t>
      </w:r>
    </w:p>
    <w:p w14:paraId="47D0724B" w14:textId="15A53F59" w:rsidR="002512D8" w:rsidRPr="00F15DDD" w:rsidRDefault="00424DD2">
      <w:pPr>
        <w:ind w:firstLine="420"/>
        <w:jc w:val="center"/>
        <w:rPr>
          <w:rFonts w:ascii="黑体" w:eastAsia="黑体" w:hAnsi="黑体"/>
        </w:rPr>
      </w:pPr>
      <w:r w:rsidRPr="00F15DDD">
        <w:rPr>
          <w:rFonts w:ascii="黑体" w:eastAsia="黑体" w:hAnsi="黑体" w:hint="eastAsia"/>
        </w:rPr>
        <w:t>表5 CNY-CNH价差ARCH效应检验结果</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2512D8" w14:paraId="71CE3B48" w14:textId="77777777" w:rsidTr="000A3CF0">
        <w:tc>
          <w:tcPr>
            <w:tcW w:w="4261" w:type="dxa"/>
            <w:tcBorders>
              <w:top w:val="single" w:sz="12" w:space="0" w:color="auto"/>
              <w:bottom w:val="single" w:sz="4" w:space="0" w:color="auto"/>
            </w:tcBorders>
          </w:tcPr>
          <w:p w14:paraId="22BD78C5" w14:textId="77777777" w:rsidR="002512D8" w:rsidRDefault="00424DD2" w:rsidP="00F15DDD">
            <w:pPr>
              <w:spacing w:line="240" w:lineRule="auto"/>
              <w:ind w:firstLineChars="0" w:firstLine="0"/>
              <w:jc w:val="center"/>
            </w:pPr>
            <w:r>
              <w:rPr>
                <w:rFonts w:hint="eastAsia"/>
              </w:rPr>
              <w:t xml:space="preserve">Chi-squared </w:t>
            </w:r>
          </w:p>
        </w:tc>
        <w:tc>
          <w:tcPr>
            <w:tcW w:w="4261" w:type="dxa"/>
            <w:tcBorders>
              <w:top w:val="single" w:sz="12" w:space="0" w:color="auto"/>
              <w:bottom w:val="single" w:sz="4" w:space="0" w:color="auto"/>
            </w:tcBorders>
          </w:tcPr>
          <w:p w14:paraId="59CEE905" w14:textId="77777777" w:rsidR="002512D8" w:rsidRDefault="00424DD2" w:rsidP="00F15DDD">
            <w:pPr>
              <w:spacing w:line="240" w:lineRule="auto"/>
              <w:ind w:firstLineChars="0" w:firstLine="0"/>
              <w:jc w:val="center"/>
            </w:pPr>
            <w:r>
              <w:t>1355.8</w:t>
            </w:r>
          </w:p>
        </w:tc>
      </w:tr>
      <w:tr w:rsidR="002512D8" w14:paraId="20387BA1" w14:textId="77777777" w:rsidTr="000A3CF0">
        <w:tc>
          <w:tcPr>
            <w:tcW w:w="4261" w:type="dxa"/>
            <w:tcBorders>
              <w:top w:val="single" w:sz="4" w:space="0" w:color="auto"/>
              <w:bottom w:val="single" w:sz="12" w:space="0" w:color="auto"/>
            </w:tcBorders>
          </w:tcPr>
          <w:p w14:paraId="0FC52A87" w14:textId="77777777" w:rsidR="002512D8" w:rsidRDefault="00424DD2" w:rsidP="00F15DDD">
            <w:pPr>
              <w:spacing w:line="240" w:lineRule="auto"/>
              <w:ind w:firstLineChars="0" w:firstLine="0"/>
              <w:jc w:val="center"/>
            </w:pPr>
            <w:r>
              <w:t xml:space="preserve">p-value </w:t>
            </w:r>
          </w:p>
        </w:tc>
        <w:tc>
          <w:tcPr>
            <w:tcW w:w="4261" w:type="dxa"/>
            <w:tcBorders>
              <w:top w:val="single" w:sz="4" w:space="0" w:color="auto"/>
              <w:bottom w:val="single" w:sz="12" w:space="0" w:color="auto"/>
            </w:tcBorders>
          </w:tcPr>
          <w:p w14:paraId="19FD29C7" w14:textId="77777777" w:rsidR="002512D8" w:rsidRDefault="00424DD2" w:rsidP="00F15DDD">
            <w:pPr>
              <w:spacing w:line="240" w:lineRule="auto"/>
              <w:ind w:firstLineChars="0" w:firstLine="0"/>
              <w:jc w:val="center"/>
            </w:pPr>
            <w:r>
              <w:t>&lt; 2.2e-16</w:t>
            </w:r>
          </w:p>
        </w:tc>
      </w:tr>
    </w:tbl>
    <w:p w14:paraId="31EB9C24" w14:textId="77777777" w:rsidR="002512D8" w:rsidRDefault="00424DD2">
      <w:pPr>
        <w:ind w:firstLine="420"/>
      </w:pPr>
      <w:r>
        <w:rPr>
          <w:rFonts w:hint="eastAsia"/>
        </w:rPr>
        <w:t>由表</w:t>
      </w:r>
      <w:r>
        <w:rPr>
          <w:rFonts w:hint="eastAsia"/>
        </w:rPr>
        <w:t>5</w:t>
      </w:r>
      <w:r>
        <w:rPr>
          <w:rFonts w:hint="eastAsia"/>
        </w:rPr>
        <w:t>结果看到</w:t>
      </w:r>
      <w:r>
        <w:rPr>
          <w:rFonts w:hint="eastAsia"/>
        </w:rPr>
        <w:t>P</w:t>
      </w:r>
      <w:r>
        <w:rPr>
          <w:rFonts w:hint="eastAsia"/>
        </w:rPr>
        <w:t>值小于</w:t>
      </w:r>
      <w:r>
        <w:rPr>
          <w:rFonts w:hint="eastAsia"/>
        </w:rPr>
        <w:t>0.01</w:t>
      </w:r>
      <w:r>
        <w:rPr>
          <w:rFonts w:hint="eastAsia"/>
        </w:rPr>
        <w:t>存在</w:t>
      </w:r>
      <w:r>
        <w:rPr>
          <w:rFonts w:hint="eastAsia"/>
        </w:rPr>
        <w:t>ARCH</w:t>
      </w:r>
      <w:r>
        <w:rPr>
          <w:rFonts w:hint="eastAsia"/>
        </w:rPr>
        <w:t>效应，因此可以利用</w:t>
      </w:r>
      <w:r>
        <w:rPr>
          <w:rFonts w:hint="eastAsia"/>
        </w:rPr>
        <w:t>GARCH-MIDAS</w:t>
      </w:r>
      <w:r>
        <w:rPr>
          <w:rFonts w:hint="eastAsia"/>
        </w:rPr>
        <w:t>模型进行建模。</w:t>
      </w:r>
    </w:p>
    <w:p w14:paraId="36D1E3F3" w14:textId="5E032CC0" w:rsidR="002512D8" w:rsidRDefault="00AD3EF6" w:rsidP="00F15DDD">
      <w:pPr>
        <w:pStyle w:val="2"/>
      </w:pPr>
      <w:r>
        <w:rPr>
          <w:rFonts w:hint="eastAsia"/>
        </w:rPr>
        <w:t>（三）</w:t>
      </w:r>
      <w:r w:rsidR="00424DD2">
        <w:rPr>
          <w:rFonts w:hint="eastAsia"/>
        </w:rPr>
        <w:t>实证结果及分析</w:t>
      </w:r>
    </w:p>
    <w:p w14:paraId="76EB5247" w14:textId="04FCEE71" w:rsidR="00910E4B" w:rsidRDefault="00424DD2" w:rsidP="00283266">
      <w:pPr>
        <w:ind w:firstLine="420"/>
      </w:pPr>
      <w:r>
        <w:rPr>
          <w:rFonts w:hint="eastAsia"/>
        </w:rPr>
        <w:t>本文将基本面变量：中美利差、人民币升贬值预期；</w:t>
      </w:r>
      <w:r w:rsidR="00A310F1">
        <w:rPr>
          <w:rFonts w:hint="eastAsia"/>
        </w:rPr>
        <w:t>政治经济</w:t>
      </w:r>
      <w:r>
        <w:rPr>
          <w:rFonts w:hint="eastAsia"/>
        </w:rPr>
        <w:t>环境变量：经济政策不确定性、地缘政治风险</w:t>
      </w:r>
      <w:r w:rsidR="00A310F1">
        <w:rPr>
          <w:rFonts w:hint="eastAsia"/>
        </w:rPr>
        <w:t>；投资者关注度：</w:t>
      </w:r>
      <w:r>
        <w:rPr>
          <w:rFonts w:hint="eastAsia"/>
        </w:rPr>
        <w:t>国内投资者关注度、国际投资者关注度；政策变量：</w:t>
      </w:r>
      <w:r>
        <w:rPr>
          <w:rFonts w:hint="eastAsia"/>
          <w:bCs/>
        </w:rPr>
        <w:t>人民币兑美元汇率中间价机制改革、</w:t>
      </w:r>
      <w:r>
        <w:rPr>
          <w:rFonts w:hint="eastAsia"/>
        </w:rPr>
        <w:t>人民币国际化进程引入</w:t>
      </w:r>
      <w:r>
        <w:rPr>
          <w:rFonts w:hint="eastAsia"/>
        </w:rPr>
        <w:t>GARCH-MIDAS</w:t>
      </w:r>
      <w:r>
        <w:rPr>
          <w:rFonts w:hint="eastAsia"/>
        </w:rPr>
        <w:t>模型，探究各变量对</w:t>
      </w:r>
      <w:r>
        <w:rPr>
          <w:rFonts w:hint="eastAsia"/>
        </w:rPr>
        <w:t>CNY-CNH</w:t>
      </w:r>
      <w:r>
        <w:rPr>
          <w:rFonts w:hint="eastAsia"/>
        </w:rPr>
        <w:t>价差长短期波动的影响，参数估计结果如表</w:t>
      </w:r>
      <w:r>
        <w:rPr>
          <w:rFonts w:hint="eastAsia"/>
        </w:rPr>
        <w:t>6</w:t>
      </w:r>
      <w:r>
        <w:rPr>
          <w:rFonts w:hint="eastAsia"/>
        </w:rPr>
        <w:t>所示。</w:t>
      </w:r>
    </w:p>
    <w:p w14:paraId="180883D1" w14:textId="57ACFF2E" w:rsidR="00BE67DB" w:rsidRDefault="00F15DDD" w:rsidP="00416544">
      <w:pPr>
        <w:autoSpaceDE w:val="0"/>
        <w:autoSpaceDN w:val="0"/>
        <w:adjustRightInd w:val="0"/>
        <w:snapToGrid w:val="0"/>
        <w:spacing w:line="240" w:lineRule="auto"/>
        <w:ind w:firstLine="420"/>
        <w:jc w:val="center"/>
        <w:textAlignment w:val="center"/>
        <w:rPr>
          <w:rFonts w:ascii="黑体" w:eastAsia="黑体" w:hAnsi="黑体"/>
        </w:rPr>
      </w:pPr>
      <w:r w:rsidRPr="00F15DDD">
        <w:rPr>
          <w:rFonts w:ascii="黑体" w:eastAsia="黑体" w:hAnsi="黑体" w:hint="eastAsia"/>
        </w:rPr>
        <w:t>表6 GARCH-MIDAS结果</w:t>
      </w:r>
    </w:p>
    <w:tbl>
      <w:tblPr>
        <w:tblStyle w:val="a3"/>
        <w:tblpPr w:leftFromText="180" w:rightFromText="180" w:vertAnchor="text" w:horzAnchor="page" w:tblpXSpec="center" w:tblpY="321"/>
        <w:tblOverlap w:val="never"/>
        <w:tblW w:w="53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
        <w:gridCol w:w="924"/>
        <w:gridCol w:w="848"/>
        <w:gridCol w:w="854"/>
        <w:gridCol w:w="850"/>
        <w:gridCol w:w="850"/>
        <w:gridCol w:w="991"/>
        <w:gridCol w:w="852"/>
        <w:gridCol w:w="848"/>
        <w:gridCol w:w="868"/>
      </w:tblGrid>
      <w:tr w:rsidR="00C26C69" w14:paraId="3FA856B1" w14:textId="77777777" w:rsidTr="000A3CF0">
        <w:trPr>
          <w:trHeight w:val="521"/>
          <w:jc w:val="center"/>
        </w:trPr>
        <w:tc>
          <w:tcPr>
            <w:tcW w:w="593" w:type="pct"/>
            <w:tcBorders>
              <w:top w:val="single" w:sz="12" w:space="0" w:color="auto"/>
              <w:bottom w:val="single" w:sz="4" w:space="0" w:color="auto"/>
              <w:tl2br w:val="single" w:sz="4" w:space="0" w:color="auto"/>
            </w:tcBorders>
            <w:vAlign w:val="center"/>
          </w:tcPr>
          <w:p w14:paraId="2FC16E16" w14:textId="77777777" w:rsidR="00416544" w:rsidRDefault="00416544" w:rsidP="00416544">
            <w:pPr>
              <w:snapToGrid w:val="0"/>
              <w:spacing w:line="240" w:lineRule="auto"/>
              <w:ind w:firstLine="360"/>
              <w:rPr>
                <w:sz w:val="18"/>
                <w:szCs w:val="18"/>
              </w:rPr>
            </w:pPr>
            <w:r>
              <w:rPr>
                <w:rFonts w:hint="eastAsia"/>
                <w:sz w:val="18"/>
                <w:szCs w:val="18"/>
              </w:rPr>
              <w:t>参数</w:t>
            </w:r>
          </w:p>
          <w:p w14:paraId="2AA9080D" w14:textId="77777777" w:rsidR="00416544" w:rsidRDefault="00416544" w:rsidP="00416544">
            <w:pPr>
              <w:snapToGrid w:val="0"/>
              <w:spacing w:line="240" w:lineRule="auto"/>
              <w:ind w:firstLineChars="0" w:firstLine="0"/>
              <w:rPr>
                <w:sz w:val="18"/>
                <w:szCs w:val="18"/>
              </w:rPr>
            </w:pPr>
            <w:r>
              <w:rPr>
                <w:rFonts w:hint="eastAsia"/>
                <w:sz w:val="18"/>
                <w:szCs w:val="18"/>
              </w:rPr>
              <w:t>变量</w:t>
            </w:r>
          </w:p>
        </w:tc>
        <w:tc>
          <w:tcPr>
            <w:tcW w:w="516" w:type="pct"/>
            <w:tcBorders>
              <w:top w:val="single" w:sz="12" w:space="0" w:color="auto"/>
              <w:bottom w:val="single" w:sz="4" w:space="0" w:color="auto"/>
            </w:tcBorders>
            <w:vAlign w:val="center"/>
          </w:tcPr>
          <w:p w14:paraId="31A6AE32"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139A3B52" wp14:editId="1EE26992">
                  <wp:extent cx="156845" cy="168275"/>
                  <wp:effectExtent l="0" t="0" r="0" b="317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845" cy="168275"/>
                          </a:xfrm>
                          <a:prstGeom prst="rect">
                            <a:avLst/>
                          </a:prstGeom>
                          <a:noFill/>
                          <a:ln>
                            <a:noFill/>
                          </a:ln>
                        </pic:spPr>
                      </pic:pic>
                    </a:graphicData>
                  </a:graphic>
                </wp:inline>
              </w:drawing>
            </w:r>
          </w:p>
        </w:tc>
        <w:tc>
          <w:tcPr>
            <w:tcW w:w="474" w:type="pct"/>
            <w:tcBorders>
              <w:top w:val="single" w:sz="12" w:space="0" w:color="auto"/>
              <w:bottom w:val="single" w:sz="4" w:space="0" w:color="auto"/>
            </w:tcBorders>
            <w:vAlign w:val="center"/>
          </w:tcPr>
          <w:p w14:paraId="627574FA"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6EF8C307" wp14:editId="585EDE33">
                  <wp:extent cx="156845" cy="140335"/>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845" cy="140335"/>
                          </a:xfrm>
                          <a:prstGeom prst="rect">
                            <a:avLst/>
                          </a:prstGeom>
                          <a:noFill/>
                          <a:ln>
                            <a:noFill/>
                          </a:ln>
                        </pic:spPr>
                      </pic:pic>
                    </a:graphicData>
                  </a:graphic>
                </wp:inline>
              </w:drawing>
            </w:r>
          </w:p>
        </w:tc>
        <w:tc>
          <w:tcPr>
            <w:tcW w:w="477" w:type="pct"/>
            <w:tcBorders>
              <w:top w:val="single" w:sz="12" w:space="0" w:color="auto"/>
              <w:bottom w:val="single" w:sz="4" w:space="0" w:color="auto"/>
            </w:tcBorders>
            <w:vAlign w:val="center"/>
          </w:tcPr>
          <w:p w14:paraId="4F15793B"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4A7F31B4" wp14:editId="0CA2A4CE">
                  <wp:extent cx="156845" cy="201930"/>
                  <wp:effectExtent l="0" t="0" r="0" b="762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845" cy="201930"/>
                          </a:xfrm>
                          <a:prstGeom prst="rect">
                            <a:avLst/>
                          </a:prstGeom>
                          <a:noFill/>
                          <a:ln>
                            <a:noFill/>
                          </a:ln>
                        </pic:spPr>
                      </pic:pic>
                    </a:graphicData>
                  </a:graphic>
                </wp:inline>
              </w:drawing>
            </w:r>
          </w:p>
        </w:tc>
        <w:tc>
          <w:tcPr>
            <w:tcW w:w="475" w:type="pct"/>
            <w:tcBorders>
              <w:top w:val="single" w:sz="12" w:space="0" w:color="auto"/>
              <w:bottom w:val="single" w:sz="4" w:space="0" w:color="auto"/>
            </w:tcBorders>
            <w:vAlign w:val="center"/>
          </w:tcPr>
          <w:p w14:paraId="05D8A12E"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56992137" wp14:editId="4B9C2587">
                  <wp:extent cx="123190" cy="17399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190" cy="173990"/>
                          </a:xfrm>
                          <a:prstGeom prst="rect">
                            <a:avLst/>
                          </a:prstGeom>
                          <a:noFill/>
                          <a:ln>
                            <a:noFill/>
                          </a:ln>
                        </pic:spPr>
                      </pic:pic>
                    </a:graphicData>
                  </a:graphic>
                </wp:inline>
              </w:drawing>
            </w:r>
          </w:p>
        </w:tc>
        <w:tc>
          <w:tcPr>
            <w:tcW w:w="475" w:type="pct"/>
            <w:tcBorders>
              <w:top w:val="single" w:sz="12" w:space="0" w:color="auto"/>
              <w:bottom w:val="single" w:sz="4" w:space="0" w:color="auto"/>
            </w:tcBorders>
            <w:vAlign w:val="center"/>
          </w:tcPr>
          <w:p w14:paraId="62AC25E5"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4058911F" wp14:editId="20C42D60">
                  <wp:extent cx="156845" cy="140335"/>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845" cy="140335"/>
                          </a:xfrm>
                          <a:prstGeom prst="rect">
                            <a:avLst/>
                          </a:prstGeom>
                          <a:noFill/>
                          <a:ln>
                            <a:noFill/>
                          </a:ln>
                        </pic:spPr>
                      </pic:pic>
                    </a:graphicData>
                  </a:graphic>
                </wp:inline>
              </w:drawing>
            </w:r>
          </w:p>
        </w:tc>
        <w:tc>
          <w:tcPr>
            <w:tcW w:w="554" w:type="pct"/>
            <w:tcBorders>
              <w:top w:val="single" w:sz="12" w:space="0" w:color="auto"/>
              <w:bottom w:val="single" w:sz="4" w:space="0" w:color="auto"/>
            </w:tcBorders>
            <w:vAlign w:val="center"/>
          </w:tcPr>
          <w:p w14:paraId="0136A746" w14:textId="77777777" w:rsidR="00416544" w:rsidRDefault="00416544" w:rsidP="00416544">
            <w:pPr>
              <w:spacing w:line="240" w:lineRule="auto"/>
              <w:ind w:firstLineChars="0" w:firstLine="0"/>
              <w:jc w:val="center"/>
              <w:rPr>
                <w:sz w:val="18"/>
                <w:szCs w:val="18"/>
              </w:rPr>
            </w:pPr>
            <w:r>
              <w:rPr>
                <w:noProof/>
                <w:sz w:val="18"/>
                <w:szCs w:val="18"/>
              </w:rPr>
              <w:drawing>
                <wp:inline distT="0" distB="0" distL="0" distR="0" wp14:anchorId="210D90EC" wp14:editId="207D676E">
                  <wp:extent cx="168275" cy="140335"/>
                  <wp:effectExtent l="0" t="0" r="317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275" cy="140335"/>
                          </a:xfrm>
                          <a:prstGeom prst="rect">
                            <a:avLst/>
                          </a:prstGeom>
                          <a:noFill/>
                          <a:ln>
                            <a:noFill/>
                          </a:ln>
                        </pic:spPr>
                      </pic:pic>
                    </a:graphicData>
                  </a:graphic>
                </wp:inline>
              </w:drawing>
            </w:r>
          </w:p>
        </w:tc>
        <w:tc>
          <w:tcPr>
            <w:tcW w:w="476" w:type="pct"/>
            <w:tcBorders>
              <w:top w:val="single" w:sz="12" w:space="0" w:color="auto"/>
              <w:bottom w:val="single" w:sz="4" w:space="0" w:color="auto"/>
            </w:tcBorders>
            <w:vAlign w:val="center"/>
          </w:tcPr>
          <w:p w14:paraId="28BBDD2E" w14:textId="77777777" w:rsidR="00416544" w:rsidRDefault="00416544" w:rsidP="00416544">
            <w:pPr>
              <w:spacing w:line="240" w:lineRule="auto"/>
              <w:ind w:firstLineChars="0" w:firstLine="0"/>
              <w:jc w:val="center"/>
              <w:rPr>
                <w:sz w:val="18"/>
                <w:szCs w:val="18"/>
              </w:rPr>
            </w:pPr>
            <w:r>
              <w:rPr>
                <w:rFonts w:hint="eastAsia"/>
                <w:sz w:val="18"/>
                <w:szCs w:val="18"/>
              </w:rPr>
              <w:t>AIC</w:t>
            </w:r>
          </w:p>
        </w:tc>
        <w:tc>
          <w:tcPr>
            <w:tcW w:w="474" w:type="pct"/>
            <w:tcBorders>
              <w:top w:val="single" w:sz="12" w:space="0" w:color="auto"/>
              <w:bottom w:val="single" w:sz="4" w:space="0" w:color="auto"/>
            </w:tcBorders>
            <w:vAlign w:val="center"/>
          </w:tcPr>
          <w:p w14:paraId="4A2102C1" w14:textId="77777777" w:rsidR="00416544" w:rsidRDefault="00416544" w:rsidP="00416544">
            <w:pPr>
              <w:spacing w:line="240" w:lineRule="auto"/>
              <w:ind w:firstLineChars="0" w:firstLine="0"/>
              <w:jc w:val="center"/>
              <w:rPr>
                <w:sz w:val="18"/>
                <w:szCs w:val="18"/>
              </w:rPr>
            </w:pPr>
            <w:r>
              <w:rPr>
                <w:rFonts w:hint="eastAsia"/>
                <w:sz w:val="18"/>
                <w:szCs w:val="18"/>
              </w:rPr>
              <w:t>BIC</w:t>
            </w:r>
          </w:p>
        </w:tc>
        <w:tc>
          <w:tcPr>
            <w:tcW w:w="485" w:type="pct"/>
            <w:tcBorders>
              <w:top w:val="single" w:sz="12" w:space="0" w:color="auto"/>
              <w:bottom w:val="single" w:sz="4" w:space="0" w:color="auto"/>
            </w:tcBorders>
            <w:vAlign w:val="center"/>
          </w:tcPr>
          <w:p w14:paraId="6F7391AC" w14:textId="77777777" w:rsidR="00416544" w:rsidRDefault="00416544" w:rsidP="00416544">
            <w:pPr>
              <w:spacing w:line="240" w:lineRule="auto"/>
              <w:ind w:firstLineChars="0" w:firstLine="0"/>
              <w:jc w:val="center"/>
              <w:rPr>
                <w:sz w:val="18"/>
                <w:szCs w:val="18"/>
              </w:rPr>
            </w:pPr>
            <w:r>
              <w:rPr>
                <w:rFonts w:hint="eastAsia"/>
                <w:sz w:val="18"/>
                <w:szCs w:val="18"/>
              </w:rPr>
              <w:t>RMSE</w:t>
            </w:r>
          </w:p>
        </w:tc>
      </w:tr>
      <w:tr w:rsidR="00C26C69" w14:paraId="6BA109BE" w14:textId="77777777" w:rsidTr="000A3CF0">
        <w:trPr>
          <w:trHeight w:val="669"/>
          <w:jc w:val="center"/>
        </w:trPr>
        <w:tc>
          <w:tcPr>
            <w:tcW w:w="593" w:type="pct"/>
            <w:tcBorders>
              <w:top w:val="single" w:sz="4" w:space="0" w:color="auto"/>
            </w:tcBorders>
            <w:vAlign w:val="center"/>
          </w:tcPr>
          <w:p w14:paraId="38128AA9" w14:textId="77777777" w:rsidR="00FB1300" w:rsidRPr="00B509A9" w:rsidRDefault="00FB1300" w:rsidP="00FB1300">
            <w:pPr>
              <w:spacing w:line="240" w:lineRule="auto"/>
              <w:ind w:firstLineChars="0" w:firstLine="0"/>
              <w:jc w:val="center"/>
              <w:rPr>
                <w:sz w:val="16"/>
                <w:szCs w:val="16"/>
              </w:rPr>
            </w:pPr>
            <w:r w:rsidRPr="00B509A9">
              <w:rPr>
                <w:rFonts w:hint="eastAsia"/>
                <w:sz w:val="16"/>
                <w:szCs w:val="16"/>
              </w:rPr>
              <w:t>CNY-CNH</w:t>
            </w:r>
          </w:p>
          <w:p w14:paraId="3A5E3E60" w14:textId="77777777" w:rsidR="00FB1300" w:rsidRPr="00B509A9" w:rsidRDefault="00FB1300" w:rsidP="00FB1300">
            <w:pPr>
              <w:spacing w:line="240" w:lineRule="auto"/>
              <w:ind w:firstLineChars="0" w:firstLine="0"/>
              <w:jc w:val="center"/>
              <w:rPr>
                <w:sz w:val="16"/>
                <w:szCs w:val="16"/>
              </w:rPr>
            </w:pPr>
            <w:r w:rsidRPr="00B509A9">
              <w:rPr>
                <w:rFonts w:hint="eastAsia"/>
                <w:sz w:val="16"/>
                <w:szCs w:val="16"/>
              </w:rPr>
              <w:t>(</w:t>
            </w:r>
            <w:r w:rsidRPr="00B509A9">
              <w:rPr>
                <w:rFonts w:hint="eastAsia"/>
                <w:sz w:val="16"/>
                <w:szCs w:val="16"/>
              </w:rPr>
              <w:t>固定窗口</w:t>
            </w:r>
            <w:r w:rsidRPr="00B509A9">
              <w:rPr>
                <w:rFonts w:hint="eastAsia"/>
                <w:sz w:val="16"/>
                <w:szCs w:val="16"/>
              </w:rPr>
              <w:t>)</w:t>
            </w:r>
          </w:p>
        </w:tc>
        <w:tc>
          <w:tcPr>
            <w:tcW w:w="516" w:type="pct"/>
            <w:tcBorders>
              <w:top w:val="single" w:sz="4" w:space="0" w:color="auto"/>
            </w:tcBorders>
            <w:vAlign w:val="center"/>
          </w:tcPr>
          <w:p w14:paraId="28F40B42"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-0.002</w:t>
            </w:r>
            <w:r>
              <w:rPr>
                <w:sz w:val="15"/>
                <w:szCs w:val="15"/>
              </w:rPr>
              <w:t>4</w:t>
            </w:r>
            <w:r w:rsidRPr="00A06391">
              <w:rPr>
                <w:rFonts w:hint="eastAsia"/>
                <w:sz w:val="15"/>
                <w:szCs w:val="15"/>
                <w:vertAlign w:val="superscript"/>
              </w:rPr>
              <w:t>***</w:t>
            </w:r>
          </w:p>
          <w:p w14:paraId="2840FD96" w14:textId="3560B09A" w:rsidR="00FB1300" w:rsidRPr="00B4486D" w:rsidRDefault="00FB1300" w:rsidP="00FB1300">
            <w:pPr>
              <w:spacing w:line="240" w:lineRule="auto"/>
              <w:ind w:firstLineChars="0" w:firstLine="0"/>
              <w:jc w:val="center"/>
              <w:rPr>
                <w:sz w:val="16"/>
                <w:szCs w:val="16"/>
              </w:rPr>
            </w:pPr>
            <w:r w:rsidRPr="00A06391">
              <w:rPr>
                <w:rFonts w:hint="eastAsia"/>
                <w:sz w:val="15"/>
                <w:szCs w:val="15"/>
              </w:rPr>
              <w:t>(0.0003)</w:t>
            </w:r>
          </w:p>
        </w:tc>
        <w:tc>
          <w:tcPr>
            <w:tcW w:w="474" w:type="pct"/>
            <w:tcBorders>
              <w:top w:val="single" w:sz="4" w:space="0" w:color="auto"/>
            </w:tcBorders>
            <w:vAlign w:val="center"/>
          </w:tcPr>
          <w:p w14:paraId="6848ADCB" w14:textId="77777777" w:rsidR="00FB1300" w:rsidRPr="00A06391" w:rsidRDefault="00FB1300" w:rsidP="00FB1300">
            <w:pPr>
              <w:ind w:firstLineChars="0" w:firstLine="0"/>
              <w:jc w:val="center"/>
              <w:rPr>
                <w:sz w:val="15"/>
                <w:szCs w:val="15"/>
                <w:vertAlign w:val="superscript"/>
              </w:rPr>
            </w:pPr>
            <w:r w:rsidRPr="00A06391">
              <w:rPr>
                <w:sz w:val="15"/>
                <w:szCs w:val="15"/>
              </w:rPr>
              <w:t>0.4</w:t>
            </w:r>
            <w:r>
              <w:rPr>
                <w:sz w:val="15"/>
                <w:szCs w:val="15"/>
              </w:rPr>
              <w:t>694</w:t>
            </w:r>
            <w:r w:rsidRPr="00A06391">
              <w:rPr>
                <w:rFonts w:hint="eastAsia"/>
                <w:sz w:val="15"/>
                <w:szCs w:val="15"/>
                <w:vertAlign w:val="superscript"/>
              </w:rPr>
              <w:t>***</w:t>
            </w:r>
          </w:p>
          <w:p w14:paraId="0B56D8A9" w14:textId="474022A2" w:rsidR="00FB1300" w:rsidRPr="00B4486D" w:rsidRDefault="00FB1300" w:rsidP="00FB1300">
            <w:pPr>
              <w:spacing w:line="240" w:lineRule="auto"/>
              <w:ind w:firstLineChars="0" w:firstLine="0"/>
              <w:jc w:val="center"/>
              <w:rPr>
                <w:sz w:val="16"/>
                <w:szCs w:val="16"/>
              </w:rPr>
            </w:pPr>
            <w:r w:rsidRPr="00A06391">
              <w:rPr>
                <w:rFonts w:hint="eastAsia"/>
                <w:sz w:val="15"/>
                <w:szCs w:val="15"/>
              </w:rPr>
              <w:t>(0.0</w:t>
            </w:r>
            <w:r>
              <w:rPr>
                <w:sz w:val="15"/>
                <w:szCs w:val="15"/>
              </w:rPr>
              <w:t>402</w:t>
            </w:r>
            <w:r w:rsidRPr="00A06391">
              <w:rPr>
                <w:rFonts w:hint="eastAsia"/>
                <w:sz w:val="15"/>
                <w:szCs w:val="15"/>
              </w:rPr>
              <w:t>)</w:t>
            </w:r>
          </w:p>
        </w:tc>
        <w:tc>
          <w:tcPr>
            <w:tcW w:w="477" w:type="pct"/>
            <w:tcBorders>
              <w:top w:val="single" w:sz="4" w:space="0" w:color="auto"/>
            </w:tcBorders>
            <w:vAlign w:val="center"/>
          </w:tcPr>
          <w:p w14:paraId="2085A4BF" w14:textId="77777777" w:rsidR="00FB1300" w:rsidRPr="00A06391" w:rsidRDefault="00FB1300" w:rsidP="00FB1300">
            <w:pPr>
              <w:ind w:firstLineChars="0" w:firstLine="0"/>
              <w:jc w:val="center"/>
              <w:rPr>
                <w:sz w:val="15"/>
                <w:szCs w:val="15"/>
                <w:vertAlign w:val="superscript"/>
              </w:rPr>
            </w:pPr>
            <w:r w:rsidRPr="00A06391">
              <w:rPr>
                <w:sz w:val="15"/>
                <w:szCs w:val="15"/>
              </w:rPr>
              <w:t>0.3</w:t>
            </w:r>
            <w:r>
              <w:rPr>
                <w:sz w:val="15"/>
                <w:szCs w:val="15"/>
              </w:rPr>
              <w:t>202</w:t>
            </w:r>
            <w:r w:rsidRPr="00A06391">
              <w:rPr>
                <w:rFonts w:hint="eastAsia"/>
                <w:sz w:val="15"/>
                <w:szCs w:val="15"/>
                <w:vertAlign w:val="superscript"/>
              </w:rPr>
              <w:t>***</w:t>
            </w:r>
          </w:p>
          <w:p w14:paraId="4C58A25A" w14:textId="420DEF7B" w:rsidR="00FB1300" w:rsidRPr="00B4486D" w:rsidRDefault="00FB1300" w:rsidP="00FB1300">
            <w:pPr>
              <w:spacing w:line="240" w:lineRule="auto"/>
              <w:ind w:firstLineChars="0" w:firstLine="0"/>
              <w:jc w:val="center"/>
              <w:rPr>
                <w:sz w:val="16"/>
                <w:szCs w:val="16"/>
              </w:rPr>
            </w:pPr>
            <w:r w:rsidRPr="00A06391">
              <w:rPr>
                <w:rFonts w:hint="eastAsia"/>
                <w:sz w:val="15"/>
                <w:szCs w:val="15"/>
              </w:rPr>
              <w:t>(0.03</w:t>
            </w:r>
            <w:r>
              <w:rPr>
                <w:sz w:val="15"/>
                <w:szCs w:val="15"/>
              </w:rPr>
              <w:t>98</w:t>
            </w:r>
            <w:r w:rsidRPr="00A06391">
              <w:rPr>
                <w:rFonts w:hint="eastAsia"/>
                <w:sz w:val="15"/>
                <w:szCs w:val="15"/>
              </w:rPr>
              <w:t>)</w:t>
            </w:r>
          </w:p>
        </w:tc>
        <w:tc>
          <w:tcPr>
            <w:tcW w:w="475" w:type="pct"/>
            <w:tcBorders>
              <w:top w:val="single" w:sz="4" w:space="0" w:color="auto"/>
            </w:tcBorders>
            <w:vAlign w:val="center"/>
          </w:tcPr>
          <w:p w14:paraId="1327031F" w14:textId="77777777" w:rsidR="00FB1300" w:rsidRPr="00A06391" w:rsidRDefault="00FB1300" w:rsidP="00FB1300">
            <w:pPr>
              <w:ind w:firstLineChars="0" w:firstLine="0"/>
              <w:jc w:val="center"/>
              <w:rPr>
                <w:sz w:val="15"/>
                <w:szCs w:val="15"/>
                <w:vertAlign w:val="superscript"/>
              </w:rPr>
            </w:pPr>
            <w:r w:rsidRPr="00A06391">
              <w:rPr>
                <w:sz w:val="15"/>
                <w:szCs w:val="15"/>
              </w:rPr>
              <w:t>0.</w:t>
            </w:r>
            <w:r>
              <w:rPr>
                <w:sz w:val="15"/>
                <w:szCs w:val="15"/>
              </w:rPr>
              <w:t>0867</w:t>
            </w:r>
            <w:r w:rsidRPr="00A06391">
              <w:rPr>
                <w:rFonts w:hint="eastAsia"/>
                <w:sz w:val="15"/>
                <w:szCs w:val="15"/>
                <w:vertAlign w:val="superscript"/>
              </w:rPr>
              <w:t>***</w:t>
            </w:r>
          </w:p>
          <w:p w14:paraId="1C6B40A6" w14:textId="5AAF69AB" w:rsidR="00FB1300" w:rsidRPr="00B4486D" w:rsidRDefault="00FB1300" w:rsidP="00FB1300">
            <w:pPr>
              <w:spacing w:line="240" w:lineRule="auto"/>
              <w:ind w:firstLineChars="0" w:firstLine="0"/>
              <w:jc w:val="center"/>
              <w:rPr>
                <w:sz w:val="16"/>
                <w:szCs w:val="16"/>
              </w:rPr>
            </w:pPr>
            <w:r w:rsidRPr="00A06391">
              <w:rPr>
                <w:rFonts w:hint="eastAsia"/>
                <w:sz w:val="15"/>
                <w:szCs w:val="15"/>
              </w:rPr>
              <w:t>(0.0</w:t>
            </w:r>
            <w:r>
              <w:rPr>
                <w:sz w:val="15"/>
                <w:szCs w:val="15"/>
              </w:rPr>
              <w:t>104</w:t>
            </w:r>
            <w:r w:rsidRPr="00A06391">
              <w:rPr>
                <w:rFonts w:hint="eastAsia"/>
                <w:sz w:val="15"/>
                <w:szCs w:val="15"/>
              </w:rPr>
              <w:t>)</w:t>
            </w:r>
          </w:p>
        </w:tc>
        <w:tc>
          <w:tcPr>
            <w:tcW w:w="475" w:type="pct"/>
            <w:tcBorders>
              <w:top w:val="single" w:sz="4" w:space="0" w:color="auto"/>
            </w:tcBorders>
            <w:vAlign w:val="center"/>
          </w:tcPr>
          <w:p w14:paraId="39CD5020" w14:textId="77777777" w:rsidR="00FB1300" w:rsidRPr="00A06391" w:rsidRDefault="00FB1300" w:rsidP="00FB1300">
            <w:pPr>
              <w:ind w:firstLineChars="0" w:firstLine="0"/>
              <w:jc w:val="center"/>
              <w:rPr>
                <w:sz w:val="15"/>
                <w:szCs w:val="15"/>
                <w:vertAlign w:val="superscript"/>
              </w:rPr>
            </w:pPr>
            <w:r w:rsidRPr="00A06391">
              <w:rPr>
                <w:sz w:val="15"/>
                <w:szCs w:val="15"/>
              </w:rPr>
              <w:t>49.9</w:t>
            </w:r>
            <w:r>
              <w:rPr>
                <w:sz w:val="15"/>
                <w:szCs w:val="15"/>
              </w:rPr>
              <w:t>99</w:t>
            </w:r>
            <w:r w:rsidRPr="00A06391">
              <w:rPr>
                <w:rFonts w:hint="eastAsia"/>
                <w:sz w:val="15"/>
                <w:szCs w:val="15"/>
                <w:vertAlign w:val="superscript"/>
              </w:rPr>
              <w:t>*</w:t>
            </w:r>
          </w:p>
          <w:p w14:paraId="4E0C43CE" w14:textId="1487B1DF" w:rsidR="00FB1300" w:rsidRPr="00B4486D" w:rsidRDefault="00FB1300" w:rsidP="00FB1300">
            <w:pPr>
              <w:spacing w:line="240" w:lineRule="auto"/>
              <w:ind w:firstLineChars="0" w:firstLine="0"/>
              <w:jc w:val="center"/>
              <w:rPr>
                <w:sz w:val="16"/>
                <w:szCs w:val="16"/>
              </w:rPr>
            </w:pPr>
            <w:r w:rsidRPr="00A06391">
              <w:rPr>
                <w:rFonts w:hint="eastAsia"/>
                <w:sz w:val="15"/>
                <w:szCs w:val="15"/>
              </w:rPr>
              <w:t>(</w:t>
            </w:r>
            <w:r>
              <w:rPr>
                <w:sz w:val="15"/>
                <w:szCs w:val="15"/>
              </w:rPr>
              <w:t>26.02</w:t>
            </w:r>
            <w:r w:rsidRPr="00A06391">
              <w:rPr>
                <w:rFonts w:hint="eastAsia"/>
                <w:sz w:val="15"/>
                <w:szCs w:val="15"/>
              </w:rPr>
              <w:t>)</w:t>
            </w:r>
          </w:p>
        </w:tc>
        <w:tc>
          <w:tcPr>
            <w:tcW w:w="554" w:type="pct"/>
            <w:tcBorders>
              <w:top w:val="single" w:sz="4" w:space="0" w:color="auto"/>
            </w:tcBorders>
            <w:vAlign w:val="center"/>
          </w:tcPr>
          <w:p w14:paraId="2EF0078F" w14:textId="77777777" w:rsidR="00FB1300" w:rsidRPr="00A06391" w:rsidRDefault="00FB1300" w:rsidP="00FB1300">
            <w:pPr>
              <w:ind w:firstLineChars="0" w:firstLine="0"/>
              <w:jc w:val="center"/>
              <w:rPr>
                <w:sz w:val="15"/>
                <w:szCs w:val="15"/>
                <w:vertAlign w:val="superscript"/>
              </w:rPr>
            </w:pPr>
            <w:r w:rsidRPr="00A06391">
              <w:rPr>
                <w:sz w:val="15"/>
                <w:szCs w:val="15"/>
              </w:rPr>
              <w:t>0.01</w:t>
            </w:r>
            <w:r>
              <w:rPr>
                <w:sz w:val="15"/>
                <w:szCs w:val="15"/>
              </w:rPr>
              <w:t>85</w:t>
            </w:r>
            <w:r w:rsidRPr="00A06391">
              <w:rPr>
                <w:rFonts w:hint="eastAsia"/>
                <w:sz w:val="15"/>
                <w:szCs w:val="15"/>
                <w:vertAlign w:val="superscript"/>
              </w:rPr>
              <w:t>***</w:t>
            </w:r>
          </w:p>
          <w:p w14:paraId="4A72E5E1" w14:textId="495EB531" w:rsidR="00FB1300" w:rsidRPr="00B4486D" w:rsidRDefault="00FB1300" w:rsidP="00FB1300">
            <w:pPr>
              <w:spacing w:line="240" w:lineRule="auto"/>
              <w:ind w:firstLineChars="0" w:firstLine="0"/>
              <w:jc w:val="center"/>
              <w:rPr>
                <w:sz w:val="16"/>
                <w:szCs w:val="16"/>
              </w:rPr>
            </w:pPr>
            <w:r w:rsidRPr="00A06391">
              <w:rPr>
                <w:rFonts w:hint="eastAsia"/>
                <w:sz w:val="15"/>
                <w:szCs w:val="15"/>
              </w:rPr>
              <w:t>(0.001</w:t>
            </w:r>
            <w:r>
              <w:rPr>
                <w:sz w:val="15"/>
                <w:szCs w:val="15"/>
              </w:rPr>
              <w:t>3</w:t>
            </w:r>
            <w:r w:rsidRPr="00A06391">
              <w:rPr>
                <w:rFonts w:hint="eastAsia"/>
                <w:sz w:val="15"/>
                <w:szCs w:val="15"/>
              </w:rPr>
              <w:t>)</w:t>
            </w:r>
          </w:p>
        </w:tc>
        <w:tc>
          <w:tcPr>
            <w:tcW w:w="476" w:type="pct"/>
            <w:tcBorders>
              <w:top w:val="single" w:sz="4" w:space="0" w:color="auto"/>
            </w:tcBorders>
            <w:vAlign w:val="center"/>
          </w:tcPr>
          <w:p w14:paraId="34E9CEDE" w14:textId="02F7CCAB" w:rsidR="00FB1300" w:rsidRPr="00B4486D" w:rsidRDefault="00FB1300" w:rsidP="00FB1300">
            <w:pPr>
              <w:spacing w:line="240" w:lineRule="auto"/>
              <w:ind w:firstLineChars="0" w:firstLine="0"/>
              <w:jc w:val="center"/>
              <w:rPr>
                <w:sz w:val="16"/>
                <w:szCs w:val="16"/>
              </w:rPr>
            </w:pPr>
            <w:r w:rsidRPr="004832F8">
              <w:rPr>
                <w:sz w:val="15"/>
                <w:szCs w:val="15"/>
              </w:rPr>
              <w:t>-8942.81</w:t>
            </w:r>
          </w:p>
        </w:tc>
        <w:tc>
          <w:tcPr>
            <w:tcW w:w="474" w:type="pct"/>
            <w:tcBorders>
              <w:top w:val="single" w:sz="4" w:space="0" w:color="auto"/>
            </w:tcBorders>
            <w:vAlign w:val="center"/>
          </w:tcPr>
          <w:p w14:paraId="08B1E43B" w14:textId="21A15CDD" w:rsidR="00FB1300" w:rsidRPr="00B4486D" w:rsidRDefault="00FB1300" w:rsidP="00FB1300">
            <w:pPr>
              <w:spacing w:line="240" w:lineRule="auto"/>
              <w:ind w:firstLineChars="0" w:firstLine="0"/>
              <w:jc w:val="center"/>
              <w:rPr>
                <w:sz w:val="16"/>
                <w:szCs w:val="16"/>
              </w:rPr>
            </w:pPr>
            <w:r w:rsidRPr="004832F8">
              <w:rPr>
                <w:sz w:val="15"/>
                <w:szCs w:val="15"/>
              </w:rPr>
              <w:t>-8908.15</w:t>
            </w:r>
          </w:p>
        </w:tc>
        <w:tc>
          <w:tcPr>
            <w:tcW w:w="485" w:type="pct"/>
            <w:tcBorders>
              <w:top w:val="single" w:sz="4" w:space="0" w:color="auto"/>
            </w:tcBorders>
            <w:vAlign w:val="center"/>
          </w:tcPr>
          <w:p w14:paraId="2B8D6D26" w14:textId="76BC9920" w:rsidR="00FB1300" w:rsidRPr="00B4486D" w:rsidRDefault="00FB1300" w:rsidP="00FB1300">
            <w:pPr>
              <w:spacing w:line="240" w:lineRule="auto"/>
              <w:ind w:firstLineChars="0" w:firstLine="0"/>
              <w:jc w:val="center"/>
              <w:rPr>
                <w:sz w:val="16"/>
                <w:szCs w:val="16"/>
              </w:rPr>
            </w:pPr>
            <w:r w:rsidRPr="00A06391">
              <w:rPr>
                <w:sz w:val="15"/>
                <w:szCs w:val="15"/>
              </w:rPr>
              <w:t>8.</w:t>
            </w:r>
            <w:r>
              <w:rPr>
                <w:sz w:val="15"/>
                <w:szCs w:val="15"/>
              </w:rPr>
              <w:t>155</w:t>
            </w:r>
            <w:r w:rsidRPr="00A06391">
              <w:rPr>
                <w:sz w:val="15"/>
                <w:szCs w:val="15"/>
              </w:rPr>
              <w:t>e-04</w:t>
            </w:r>
          </w:p>
        </w:tc>
      </w:tr>
      <w:tr w:rsidR="00C26C69" w14:paraId="6F80F4B9" w14:textId="77777777" w:rsidTr="00C26C69">
        <w:trPr>
          <w:trHeight w:val="671"/>
          <w:jc w:val="center"/>
        </w:trPr>
        <w:tc>
          <w:tcPr>
            <w:tcW w:w="593" w:type="pct"/>
            <w:vAlign w:val="center"/>
          </w:tcPr>
          <w:p w14:paraId="1BFFAE0B" w14:textId="77777777" w:rsidR="00FB1300" w:rsidRPr="00B509A9" w:rsidRDefault="00FB1300" w:rsidP="00FB1300">
            <w:pPr>
              <w:spacing w:line="240" w:lineRule="auto"/>
              <w:ind w:firstLineChars="0" w:firstLine="0"/>
              <w:jc w:val="center"/>
              <w:rPr>
                <w:sz w:val="16"/>
                <w:szCs w:val="16"/>
              </w:rPr>
            </w:pPr>
            <w:r w:rsidRPr="00B509A9">
              <w:rPr>
                <w:rFonts w:hint="eastAsia"/>
                <w:sz w:val="16"/>
                <w:szCs w:val="16"/>
              </w:rPr>
              <w:t>CNY-CNH</w:t>
            </w:r>
          </w:p>
          <w:p w14:paraId="3AC4A4C1" w14:textId="77777777" w:rsidR="00FB1300" w:rsidRPr="00B509A9" w:rsidRDefault="00FB1300" w:rsidP="00FB1300">
            <w:pPr>
              <w:spacing w:line="240" w:lineRule="auto"/>
              <w:ind w:firstLineChars="0" w:firstLine="0"/>
              <w:jc w:val="center"/>
              <w:rPr>
                <w:sz w:val="16"/>
                <w:szCs w:val="16"/>
              </w:rPr>
            </w:pPr>
            <w:r w:rsidRPr="00B509A9">
              <w:rPr>
                <w:rFonts w:hint="eastAsia"/>
                <w:sz w:val="16"/>
                <w:szCs w:val="16"/>
              </w:rPr>
              <w:t>(</w:t>
            </w:r>
            <w:r w:rsidRPr="00B509A9">
              <w:rPr>
                <w:rFonts w:hint="eastAsia"/>
                <w:sz w:val="16"/>
                <w:szCs w:val="16"/>
              </w:rPr>
              <w:t>滚动窗口</w:t>
            </w:r>
            <w:r w:rsidRPr="00B509A9">
              <w:rPr>
                <w:rFonts w:hint="eastAsia"/>
                <w:sz w:val="16"/>
                <w:szCs w:val="16"/>
              </w:rPr>
              <w:t>)</w:t>
            </w:r>
          </w:p>
        </w:tc>
        <w:tc>
          <w:tcPr>
            <w:tcW w:w="516" w:type="pct"/>
            <w:vAlign w:val="center"/>
          </w:tcPr>
          <w:p w14:paraId="333BB1D9"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-0.002</w:t>
            </w:r>
            <w:r>
              <w:rPr>
                <w:sz w:val="15"/>
                <w:szCs w:val="15"/>
              </w:rPr>
              <w:t>4</w:t>
            </w:r>
            <w:r w:rsidRPr="00A06391">
              <w:rPr>
                <w:rFonts w:hint="eastAsia"/>
                <w:sz w:val="15"/>
                <w:szCs w:val="15"/>
                <w:vertAlign w:val="superscript"/>
              </w:rPr>
              <w:t>***</w:t>
            </w:r>
          </w:p>
          <w:p w14:paraId="567A00D3" w14:textId="1422AF0C" w:rsidR="00FB1300" w:rsidRPr="00B4486D" w:rsidRDefault="00FB1300" w:rsidP="00FB1300">
            <w:pPr>
              <w:spacing w:line="240" w:lineRule="auto"/>
              <w:ind w:firstLineChars="0" w:firstLine="0"/>
              <w:jc w:val="center"/>
              <w:rPr>
                <w:sz w:val="16"/>
                <w:szCs w:val="16"/>
              </w:rPr>
            </w:pPr>
            <w:r w:rsidRPr="00A06391">
              <w:rPr>
                <w:rFonts w:hint="eastAsia"/>
                <w:sz w:val="15"/>
                <w:szCs w:val="15"/>
              </w:rPr>
              <w:t>(0.0003)</w:t>
            </w:r>
          </w:p>
        </w:tc>
        <w:tc>
          <w:tcPr>
            <w:tcW w:w="474" w:type="pct"/>
            <w:vAlign w:val="center"/>
          </w:tcPr>
          <w:p w14:paraId="117FF001"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0.4</w:t>
            </w:r>
            <w:r>
              <w:rPr>
                <w:sz w:val="15"/>
                <w:szCs w:val="15"/>
              </w:rPr>
              <w:t>744</w:t>
            </w:r>
            <w:r w:rsidRPr="00A06391">
              <w:rPr>
                <w:sz w:val="15"/>
                <w:szCs w:val="15"/>
                <w:vertAlign w:val="superscript"/>
              </w:rPr>
              <w:t>***</w:t>
            </w:r>
          </w:p>
          <w:p w14:paraId="0E960C48" w14:textId="74270F15" w:rsidR="00FB1300" w:rsidRPr="00B4486D" w:rsidRDefault="00FB1300" w:rsidP="00FB1300">
            <w:pPr>
              <w:spacing w:line="240" w:lineRule="auto"/>
              <w:ind w:firstLineChars="0" w:firstLine="0"/>
              <w:jc w:val="center"/>
              <w:rPr>
                <w:sz w:val="16"/>
                <w:szCs w:val="16"/>
              </w:rPr>
            </w:pPr>
            <w:r w:rsidRPr="00A06391">
              <w:rPr>
                <w:rFonts w:hint="eastAsia"/>
                <w:sz w:val="15"/>
                <w:szCs w:val="15"/>
              </w:rPr>
              <w:t>(0.03</w:t>
            </w:r>
            <w:r>
              <w:rPr>
                <w:sz w:val="15"/>
                <w:szCs w:val="15"/>
              </w:rPr>
              <w:t>99</w:t>
            </w:r>
            <w:r w:rsidRPr="00A06391">
              <w:rPr>
                <w:rFonts w:hint="eastAsia"/>
                <w:sz w:val="15"/>
                <w:szCs w:val="15"/>
              </w:rPr>
              <w:t>)</w:t>
            </w:r>
          </w:p>
        </w:tc>
        <w:tc>
          <w:tcPr>
            <w:tcW w:w="477" w:type="pct"/>
            <w:vAlign w:val="center"/>
          </w:tcPr>
          <w:p w14:paraId="0C68F608"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0.3</w:t>
            </w:r>
            <w:r>
              <w:rPr>
                <w:sz w:val="15"/>
                <w:szCs w:val="15"/>
              </w:rPr>
              <w:t>004</w:t>
            </w:r>
            <w:r w:rsidRPr="00A06391">
              <w:rPr>
                <w:sz w:val="15"/>
                <w:szCs w:val="15"/>
                <w:vertAlign w:val="superscript"/>
              </w:rPr>
              <w:t>***</w:t>
            </w:r>
          </w:p>
          <w:p w14:paraId="1E7986EE" w14:textId="31B352FF" w:rsidR="00FB1300" w:rsidRPr="00B4486D" w:rsidRDefault="00FB1300" w:rsidP="00FB1300">
            <w:pPr>
              <w:spacing w:line="240" w:lineRule="auto"/>
              <w:ind w:firstLineChars="0" w:firstLine="0"/>
              <w:jc w:val="center"/>
              <w:rPr>
                <w:sz w:val="16"/>
                <w:szCs w:val="16"/>
              </w:rPr>
            </w:pPr>
            <w:r w:rsidRPr="00A06391">
              <w:rPr>
                <w:rFonts w:hint="eastAsia"/>
                <w:sz w:val="15"/>
                <w:szCs w:val="15"/>
              </w:rPr>
              <w:t>(0.03</w:t>
            </w:r>
            <w:r>
              <w:rPr>
                <w:sz w:val="15"/>
                <w:szCs w:val="15"/>
              </w:rPr>
              <w:t>98</w:t>
            </w:r>
            <w:r w:rsidRPr="00A06391">
              <w:rPr>
                <w:rFonts w:hint="eastAsia"/>
                <w:sz w:val="15"/>
                <w:szCs w:val="15"/>
              </w:rPr>
              <w:t>)</w:t>
            </w:r>
          </w:p>
        </w:tc>
        <w:tc>
          <w:tcPr>
            <w:tcW w:w="475" w:type="pct"/>
            <w:vAlign w:val="center"/>
          </w:tcPr>
          <w:p w14:paraId="23D24080"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w:t>
            </w:r>
            <w:r>
              <w:rPr>
                <w:sz w:val="15"/>
                <w:szCs w:val="15"/>
              </w:rPr>
              <w:t>0994</w:t>
            </w:r>
            <w:r w:rsidRPr="00A06391">
              <w:rPr>
                <w:sz w:val="15"/>
                <w:szCs w:val="15"/>
                <w:vertAlign w:val="superscript"/>
              </w:rPr>
              <w:t>***</w:t>
            </w:r>
          </w:p>
          <w:p w14:paraId="4BD7061B" w14:textId="5401390E" w:rsidR="00FB1300" w:rsidRPr="00B4486D" w:rsidRDefault="00FB1300" w:rsidP="00FB1300">
            <w:pPr>
              <w:spacing w:line="240" w:lineRule="auto"/>
              <w:ind w:firstLineChars="0" w:firstLine="0"/>
              <w:jc w:val="center"/>
              <w:rPr>
                <w:sz w:val="16"/>
                <w:szCs w:val="16"/>
              </w:rPr>
            </w:pPr>
            <w:r w:rsidRPr="00A06391">
              <w:rPr>
                <w:rFonts w:hint="eastAsia"/>
                <w:sz w:val="15"/>
                <w:szCs w:val="15"/>
              </w:rPr>
              <w:t>(0.0</w:t>
            </w:r>
            <w:r>
              <w:rPr>
                <w:sz w:val="15"/>
                <w:szCs w:val="15"/>
              </w:rPr>
              <w:t>961</w:t>
            </w:r>
            <w:r w:rsidRPr="00A06391">
              <w:rPr>
                <w:rFonts w:hint="eastAsia"/>
                <w:sz w:val="15"/>
                <w:szCs w:val="15"/>
              </w:rPr>
              <w:t>)</w:t>
            </w:r>
          </w:p>
        </w:tc>
        <w:tc>
          <w:tcPr>
            <w:tcW w:w="475" w:type="pct"/>
            <w:vAlign w:val="center"/>
          </w:tcPr>
          <w:p w14:paraId="090B327E"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49.9</w:t>
            </w:r>
            <w:r>
              <w:rPr>
                <w:sz w:val="15"/>
                <w:szCs w:val="15"/>
              </w:rPr>
              <w:t>56</w:t>
            </w:r>
            <w:r w:rsidRPr="00A06391">
              <w:rPr>
                <w:sz w:val="15"/>
                <w:szCs w:val="15"/>
                <w:vertAlign w:val="superscript"/>
              </w:rPr>
              <w:t>*</w:t>
            </w:r>
          </w:p>
          <w:p w14:paraId="3740BC36" w14:textId="0D9CB3F0" w:rsidR="00FB1300" w:rsidRPr="00B4486D" w:rsidRDefault="00FB1300" w:rsidP="00FB1300">
            <w:pPr>
              <w:spacing w:line="240" w:lineRule="auto"/>
              <w:ind w:firstLineChars="0" w:firstLine="0"/>
              <w:jc w:val="center"/>
              <w:rPr>
                <w:sz w:val="16"/>
                <w:szCs w:val="16"/>
              </w:rPr>
            </w:pPr>
            <w:r w:rsidRPr="00A06391">
              <w:rPr>
                <w:rFonts w:hint="eastAsia"/>
                <w:sz w:val="15"/>
                <w:szCs w:val="15"/>
              </w:rPr>
              <w:t>(</w:t>
            </w:r>
            <w:r>
              <w:rPr>
                <w:sz w:val="15"/>
                <w:szCs w:val="15"/>
              </w:rPr>
              <w:t>17.843</w:t>
            </w:r>
            <w:r w:rsidRPr="00A06391">
              <w:rPr>
                <w:rFonts w:hint="eastAsia"/>
                <w:sz w:val="15"/>
                <w:szCs w:val="15"/>
              </w:rPr>
              <w:t>)</w:t>
            </w:r>
          </w:p>
        </w:tc>
        <w:tc>
          <w:tcPr>
            <w:tcW w:w="554" w:type="pct"/>
            <w:vAlign w:val="center"/>
          </w:tcPr>
          <w:p w14:paraId="245080A3" w14:textId="77777777" w:rsidR="00FB1300" w:rsidRPr="00A06391" w:rsidRDefault="00FB1300" w:rsidP="00FB1300">
            <w:pPr>
              <w:ind w:firstLineChars="0" w:firstLine="0"/>
              <w:jc w:val="center"/>
              <w:rPr>
                <w:sz w:val="15"/>
                <w:szCs w:val="15"/>
                <w:vertAlign w:val="superscript"/>
              </w:rPr>
            </w:pPr>
            <w:r w:rsidRPr="00A06391">
              <w:rPr>
                <w:rFonts w:hint="eastAsia"/>
                <w:sz w:val="15"/>
                <w:szCs w:val="15"/>
              </w:rPr>
              <w:t>0.01</w:t>
            </w:r>
            <w:r>
              <w:rPr>
                <w:sz w:val="15"/>
                <w:szCs w:val="15"/>
              </w:rPr>
              <w:t>78</w:t>
            </w:r>
            <w:r w:rsidRPr="00A06391">
              <w:rPr>
                <w:sz w:val="15"/>
                <w:szCs w:val="15"/>
                <w:vertAlign w:val="superscript"/>
              </w:rPr>
              <w:t>***</w:t>
            </w:r>
          </w:p>
          <w:p w14:paraId="7C3F78C5" w14:textId="3F63A93C" w:rsidR="00FB1300" w:rsidRPr="00B4486D" w:rsidRDefault="00FB1300" w:rsidP="00FB1300">
            <w:pPr>
              <w:spacing w:line="240" w:lineRule="auto"/>
              <w:ind w:firstLineChars="0" w:firstLine="0"/>
              <w:jc w:val="center"/>
              <w:rPr>
                <w:sz w:val="16"/>
                <w:szCs w:val="16"/>
              </w:rPr>
            </w:pPr>
            <w:r w:rsidRPr="00A06391">
              <w:rPr>
                <w:rFonts w:hint="eastAsia"/>
                <w:sz w:val="15"/>
                <w:szCs w:val="15"/>
              </w:rPr>
              <w:t>(0.00</w:t>
            </w:r>
            <w:r>
              <w:rPr>
                <w:sz w:val="15"/>
                <w:szCs w:val="15"/>
              </w:rPr>
              <w:t>12</w:t>
            </w:r>
            <w:r w:rsidRPr="00A06391">
              <w:rPr>
                <w:rFonts w:hint="eastAsia"/>
                <w:sz w:val="15"/>
                <w:szCs w:val="15"/>
              </w:rPr>
              <w:t>)</w:t>
            </w:r>
          </w:p>
        </w:tc>
        <w:tc>
          <w:tcPr>
            <w:tcW w:w="476" w:type="pct"/>
            <w:vAlign w:val="center"/>
          </w:tcPr>
          <w:p w14:paraId="2A091AFF" w14:textId="1D1A8C62" w:rsidR="00FB1300" w:rsidRPr="00B4486D" w:rsidRDefault="00FB1300" w:rsidP="00FB1300">
            <w:pPr>
              <w:spacing w:line="240" w:lineRule="auto"/>
              <w:ind w:firstLineChars="0" w:firstLine="0"/>
              <w:jc w:val="center"/>
              <w:rPr>
                <w:sz w:val="16"/>
                <w:szCs w:val="16"/>
              </w:rPr>
            </w:pPr>
            <w:r w:rsidRPr="004832F8">
              <w:rPr>
                <w:sz w:val="15"/>
                <w:szCs w:val="15"/>
              </w:rPr>
              <w:t>-8944.88</w:t>
            </w:r>
          </w:p>
        </w:tc>
        <w:tc>
          <w:tcPr>
            <w:tcW w:w="474" w:type="pct"/>
            <w:vAlign w:val="center"/>
          </w:tcPr>
          <w:p w14:paraId="3A5D852D" w14:textId="70947E23" w:rsidR="00FB1300" w:rsidRPr="00B4486D" w:rsidRDefault="00FB1300" w:rsidP="00FB1300">
            <w:pPr>
              <w:spacing w:line="240" w:lineRule="auto"/>
              <w:ind w:firstLineChars="0" w:firstLine="0"/>
              <w:jc w:val="center"/>
              <w:rPr>
                <w:sz w:val="16"/>
                <w:szCs w:val="16"/>
              </w:rPr>
            </w:pPr>
            <w:r w:rsidRPr="004832F8">
              <w:rPr>
                <w:sz w:val="15"/>
                <w:szCs w:val="15"/>
              </w:rPr>
              <w:t>-8910.22</w:t>
            </w:r>
          </w:p>
        </w:tc>
        <w:tc>
          <w:tcPr>
            <w:tcW w:w="485" w:type="pct"/>
            <w:vAlign w:val="center"/>
          </w:tcPr>
          <w:p w14:paraId="30CACF56" w14:textId="299C6B6B" w:rsidR="00FB1300" w:rsidRPr="00B4486D" w:rsidRDefault="00FB1300" w:rsidP="00FB1300">
            <w:pPr>
              <w:spacing w:line="240" w:lineRule="auto"/>
              <w:ind w:firstLineChars="0" w:firstLine="0"/>
              <w:jc w:val="center"/>
              <w:rPr>
                <w:sz w:val="16"/>
                <w:szCs w:val="16"/>
              </w:rPr>
            </w:pPr>
            <w:r w:rsidRPr="00A06391">
              <w:rPr>
                <w:rFonts w:hint="eastAsia"/>
                <w:sz w:val="15"/>
                <w:szCs w:val="15"/>
              </w:rPr>
              <w:t>8.1</w:t>
            </w:r>
            <w:r>
              <w:rPr>
                <w:sz w:val="15"/>
                <w:szCs w:val="15"/>
              </w:rPr>
              <w:t>59</w:t>
            </w:r>
            <w:r w:rsidRPr="00A06391">
              <w:rPr>
                <w:rFonts w:hint="eastAsia"/>
                <w:sz w:val="15"/>
                <w:szCs w:val="15"/>
              </w:rPr>
              <w:t>e-04</w:t>
            </w:r>
          </w:p>
        </w:tc>
      </w:tr>
      <w:tr w:rsidR="00C26C69" w14:paraId="55013DE1" w14:textId="77777777" w:rsidTr="00C26C69">
        <w:trPr>
          <w:trHeight w:val="669"/>
          <w:jc w:val="center"/>
        </w:trPr>
        <w:tc>
          <w:tcPr>
            <w:tcW w:w="593" w:type="pct"/>
            <w:vAlign w:val="center"/>
          </w:tcPr>
          <w:p w14:paraId="41395F48" w14:textId="77777777" w:rsidR="00FB1300" w:rsidRPr="00B509A9" w:rsidRDefault="00FB1300" w:rsidP="00FB1300">
            <w:pPr>
              <w:spacing w:line="240" w:lineRule="auto"/>
              <w:ind w:firstLineChars="0" w:firstLine="0"/>
              <w:jc w:val="center"/>
              <w:rPr>
                <w:sz w:val="16"/>
                <w:szCs w:val="16"/>
              </w:rPr>
            </w:pPr>
            <w:r w:rsidRPr="00B509A9">
              <w:rPr>
                <w:rFonts w:hint="eastAsia"/>
                <w:sz w:val="16"/>
                <w:szCs w:val="16"/>
              </w:rPr>
              <w:t>ID</w:t>
            </w:r>
          </w:p>
        </w:tc>
        <w:tc>
          <w:tcPr>
            <w:tcW w:w="516" w:type="pct"/>
            <w:vAlign w:val="center"/>
          </w:tcPr>
          <w:p w14:paraId="37DC2D7E" w14:textId="77777777" w:rsidR="00FB1300" w:rsidRPr="00A06391" w:rsidRDefault="00FB1300" w:rsidP="00FB1300">
            <w:pPr>
              <w:spacing w:line="240" w:lineRule="auto"/>
              <w:ind w:firstLineChars="0" w:firstLine="0"/>
              <w:jc w:val="center"/>
              <w:rPr>
                <w:sz w:val="15"/>
                <w:szCs w:val="15"/>
                <w:vertAlign w:val="superscript"/>
              </w:rPr>
            </w:pPr>
            <w:r w:rsidRPr="00A06391">
              <w:rPr>
                <w:rFonts w:hint="eastAsia"/>
                <w:sz w:val="15"/>
                <w:szCs w:val="15"/>
              </w:rPr>
              <w:t>-0.002</w:t>
            </w:r>
            <w:r w:rsidRPr="00A06391">
              <w:rPr>
                <w:sz w:val="15"/>
                <w:szCs w:val="15"/>
              </w:rPr>
              <w:t>3</w:t>
            </w:r>
            <w:r w:rsidRPr="00A06391">
              <w:rPr>
                <w:sz w:val="15"/>
                <w:szCs w:val="15"/>
                <w:vertAlign w:val="superscript"/>
              </w:rPr>
              <w:t>***</w:t>
            </w:r>
          </w:p>
          <w:p w14:paraId="690CC094" w14:textId="14CA01BC" w:rsidR="00FB1300" w:rsidRPr="00B4486D" w:rsidRDefault="00FB1300" w:rsidP="00FB1300">
            <w:pPr>
              <w:spacing w:line="240" w:lineRule="auto"/>
              <w:ind w:firstLineChars="0" w:firstLine="0"/>
              <w:jc w:val="center"/>
              <w:rPr>
                <w:sz w:val="16"/>
                <w:szCs w:val="16"/>
              </w:rPr>
            </w:pPr>
            <w:r w:rsidRPr="00A06391">
              <w:rPr>
                <w:rFonts w:hint="eastAsia"/>
                <w:sz w:val="15"/>
                <w:szCs w:val="15"/>
              </w:rPr>
              <w:t>(0.0003)</w:t>
            </w:r>
          </w:p>
        </w:tc>
        <w:tc>
          <w:tcPr>
            <w:tcW w:w="474" w:type="pct"/>
            <w:vAlign w:val="center"/>
          </w:tcPr>
          <w:p w14:paraId="3E8968B2" w14:textId="77777777" w:rsidR="00FB1300" w:rsidRPr="00A06391" w:rsidRDefault="00FB1300" w:rsidP="00FB1300">
            <w:pPr>
              <w:spacing w:line="240" w:lineRule="auto"/>
              <w:ind w:firstLineChars="0" w:firstLine="0"/>
              <w:jc w:val="center"/>
              <w:rPr>
                <w:sz w:val="15"/>
                <w:szCs w:val="15"/>
                <w:vertAlign w:val="superscript"/>
              </w:rPr>
            </w:pPr>
            <w:r w:rsidRPr="00A06391">
              <w:rPr>
                <w:rFonts w:hint="eastAsia"/>
                <w:sz w:val="15"/>
                <w:szCs w:val="15"/>
              </w:rPr>
              <w:t>0.4</w:t>
            </w:r>
            <w:r w:rsidRPr="00A06391">
              <w:rPr>
                <w:sz w:val="15"/>
                <w:szCs w:val="15"/>
              </w:rPr>
              <w:t>816</w:t>
            </w:r>
            <w:r w:rsidRPr="00A06391">
              <w:rPr>
                <w:sz w:val="15"/>
                <w:szCs w:val="15"/>
                <w:vertAlign w:val="superscript"/>
              </w:rPr>
              <w:t>***</w:t>
            </w:r>
          </w:p>
          <w:p w14:paraId="5413D8A5" w14:textId="38825792" w:rsidR="00FB1300" w:rsidRPr="00B4486D" w:rsidRDefault="00FB1300" w:rsidP="00FB1300">
            <w:pPr>
              <w:spacing w:line="240" w:lineRule="auto"/>
              <w:ind w:firstLineChars="0" w:firstLine="0"/>
              <w:jc w:val="center"/>
              <w:rPr>
                <w:sz w:val="16"/>
                <w:szCs w:val="16"/>
              </w:rPr>
            </w:pPr>
            <w:r w:rsidRPr="00A06391">
              <w:rPr>
                <w:rFonts w:hint="eastAsia"/>
                <w:sz w:val="15"/>
                <w:szCs w:val="15"/>
              </w:rPr>
              <w:t>(0.04</w:t>
            </w:r>
            <w:r w:rsidRPr="00A06391">
              <w:rPr>
                <w:sz w:val="15"/>
                <w:szCs w:val="15"/>
              </w:rPr>
              <w:t>76</w:t>
            </w:r>
            <w:r w:rsidRPr="00A06391">
              <w:rPr>
                <w:rFonts w:hint="eastAsia"/>
                <w:sz w:val="15"/>
                <w:szCs w:val="15"/>
              </w:rPr>
              <w:t>)</w:t>
            </w:r>
          </w:p>
        </w:tc>
        <w:tc>
          <w:tcPr>
            <w:tcW w:w="477" w:type="pct"/>
            <w:vAlign w:val="center"/>
          </w:tcPr>
          <w:p w14:paraId="1EA079EE" w14:textId="77777777" w:rsidR="00FB1300" w:rsidRPr="00A06391" w:rsidRDefault="00FB1300" w:rsidP="00FB1300">
            <w:pPr>
              <w:spacing w:line="240" w:lineRule="auto"/>
              <w:ind w:firstLineChars="0" w:firstLine="0"/>
              <w:jc w:val="center"/>
              <w:rPr>
                <w:sz w:val="15"/>
                <w:szCs w:val="15"/>
                <w:vertAlign w:val="superscript"/>
              </w:rPr>
            </w:pPr>
            <w:r w:rsidRPr="00A06391">
              <w:rPr>
                <w:rFonts w:hint="eastAsia"/>
                <w:sz w:val="15"/>
                <w:szCs w:val="15"/>
              </w:rPr>
              <w:t>0.3</w:t>
            </w:r>
            <w:r w:rsidRPr="00A06391">
              <w:rPr>
                <w:sz w:val="15"/>
                <w:szCs w:val="15"/>
              </w:rPr>
              <w:t>479</w:t>
            </w:r>
            <w:r w:rsidRPr="00A06391">
              <w:rPr>
                <w:sz w:val="15"/>
                <w:szCs w:val="15"/>
                <w:vertAlign w:val="superscript"/>
              </w:rPr>
              <w:t>***</w:t>
            </w:r>
          </w:p>
          <w:p w14:paraId="5EE63B5C" w14:textId="0D7274CF" w:rsidR="00FB1300" w:rsidRPr="00B4486D" w:rsidRDefault="00FB1300" w:rsidP="00FB1300">
            <w:pPr>
              <w:spacing w:line="240" w:lineRule="auto"/>
              <w:ind w:firstLineChars="0" w:firstLine="0"/>
              <w:jc w:val="center"/>
              <w:rPr>
                <w:sz w:val="16"/>
                <w:szCs w:val="16"/>
              </w:rPr>
            </w:pPr>
            <w:r w:rsidRPr="00A06391">
              <w:rPr>
                <w:rFonts w:hint="eastAsia"/>
                <w:sz w:val="15"/>
                <w:szCs w:val="15"/>
              </w:rPr>
              <w:t>(0.039</w:t>
            </w:r>
            <w:r w:rsidRPr="00A06391">
              <w:rPr>
                <w:sz w:val="15"/>
                <w:szCs w:val="15"/>
              </w:rPr>
              <w:t>4</w:t>
            </w:r>
            <w:r w:rsidRPr="00A06391">
              <w:rPr>
                <w:rFonts w:hint="eastAsia"/>
                <w:sz w:val="15"/>
                <w:szCs w:val="15"/>
              </w:rPr>
              <w:t>)</w:t>
            </w:r>
          </w:p>
        </w:tc>
        <w:tc>
          <w:tcPr>
            <w:tcW w:w="475" w:type="pct"/>
            <w:vAlign w:val="center"/>
          </w:tcPr>
          <w:p w14:paraId="1135D1E5" w14:textId="77777777" w:rsidR="00FB1300" w:rsidRPr="00A06391" w:rsidRDefault="00FB1300" w:rsidP="00FB1300">
            <w:pPr>
              <w:spacing w:line="240" w:lineRule="auto"/>
              <w:ind w:firstLineChars="0" w:firstLine="0"/>
              <w:jc w:val="center"/>
              <w:rPr>
                <w:sz w:val="15"/>
                <w:szCs w:val="15"/>
                <w:vertAlign w:val="superscript"/>
              </w:rPr>
            </w:pPr>
            <w:r w:rsidRPr="00A06391">
              <w:rPr>
                <w:rFonts w:hint="eastAsia"/>
                <w:sz w:val="15"/>
                <w:szCs w:val="15"/>
              </w:rPr>
              <w:t>-1.</w:t>
            </w:r>
            <w:r w:rsidRPr="00A06391">
              <w:rPr>
                <w:sz w:val="15"/>
                <w:szCs w:val="15"/>
              </w:rPr>
              <w:t>6435</w:t>
            </w:r>
            <w:r w:rsidRPr="00A06391">
              <w:rPr>
                <w:sz w:val="15"/>
                <w:szCs w:val="15"/>
                <w:vertAlign w:val="superscript"/>
              </w:rPr>
              <w:t>***</w:t>
            </w:r>
          </w:p>
          <w:p w14:paraId="6B828C67" w14:textId="58C1F603" w:rsidR="00FB1300" w:rsidRPr="00B4486D" w:rsidRDefault="00FB1300" w:rsidP="00FB1300">
            <w:pPr>
              <w:spacing w:line="240" w:lineRule="auto"/>
              <w:ind w:firstLineChars="0" w:firstLine="0"/>
              <w:jc w:val="center"/>
              <w:rPr>
                <w:sz w:val="16"/>
                <w:szCs w:val="16"/>
              </w:rPr>
            </w:pPr>
            <w:r w:rsidRPr="00A06391">
              <w:rPr>
                <w:rFonts w:hint="eastAsia"/>
                <w:sz w:val="15"/>
                <w:szCs w:val="15"/>
              </w:rPr>
              <w:t>(0.</w:t>
            </w:r>
            <w:r w:rsidRPr="00A06391">
              <w:rPr>
                <w:sz w:val="15"/>
                <w:szCs w:val="15"/>
              </w:rPr>
              <w:t>3144</w:t>
            </w:r>
            <w:r w:rsidRPr="00A06391">
              <w:rPr>
                <w:rFonts w:hint="eastAsia"/>
                <w:sz w:val="15"/>
                <w:szCs w:val="15"/>
              </w:rPr>
              <w:t>)</w:t>
            </w:r>
          </w:p>
        </w:tc>
        <w:tc>
          <w:tcPr>
            <w:tcW w:w="475" w:type="pct"/>
            <w:vAlign w:val="center"/>
          </w:tcPr>
          <w:p w14:paraId="570F88CB" w14:textId="77777777" w:rsidR="00FB1300" w:rsidRPr="00A06391" w:rsidRDefault="00FB1300" w:rsidP="00FB1300">
            <w:pPr>
              <w:spacing w:line="240" w:lineRule="auto"/>
              <w:ind w:firstLineChars="0" w:firstLine="0"/>
              <w:jc w:val="center"/>
              <w:rPr>
                <w:sz w:val="15"/>
                <w:szCs w:val="15"/>
                <w:vertAlign w:val="superscript"/>
              </w:rPr>
            </w:pPr>
            <w:r w:rsidRPr="00A06391">
              <w:rPr>
                <w:sz w:val="15"/>
                <w:szCs w:val="15"/>
              </w:rPr>
              <w:t>24.07</w:t>
            </w:r>
            <w:r w:rsidRPr="00A06391">
              <w:rPr>
                <w:sz w:val="15"/>
                <w:szCs w:val="15"/>
                <w:vertAlign w:val="superscript"/>
              </w:rPr>
              <w:t>***</w:t>
            </w:r>
          </w:p>
          <w:p w14:paraId="6A30F721" w14:textId="09FFB7B4" w:rsidR="00FB1300" w:rsidRPr="00B4486D" w:rsidRDefault="00FB1300" w:rsidP="00FB1300">
            <w:pPr>
              <w:spacing w:line="240" w:lineRule="auto"/>
              <w:ind w:firstLineChars="0" w:firstLine="0"/>
              <w:jc w:val="center"/>
              <w:rPr>
                <w:sz w:val="16"/>
                <w:szCs w:val="16"/>
              </w:rPr>
            </w:pPr>
            <w:r w:rsidRPr="00A06391">
              <w:rPr>
                <w:rFonts w:hint="eastAsia"/>
                <w:sz w:val="15"/>
                <w:szCs w:val="15"/>
              </w:rPr>
              <w:t>(</w:t>
            </w:r>
            <w:r w:rsidRPr="00A06391">
              <w:rPr>
                <w:sz w:val="15"/>
                <w:szCs w:val="15"/>
              </w:rPr>
              <w:t>6.6423</w:t>
            </w:r>
            <w:r w:rsidRPr="00A06391">
              <w:rPr>
                <w:rFonts w:hint="eastAsia"/>
                <w:sz w:val="15"/>
                <w:szCs w:val="15"/>
              </w:rPr>
              <w:t>)</w:t>
            </w:r>
          </w:p>
        </w:tc>
        <w:tc>
          <w:tcPr>
            <w:tcW w:w="554" w:type="pct"/>
            <w:vAlign w:val="center"/>
          </w:tcPr>
          <w:p w14:paraId="0AC76CE4" w14:textId="77777777" w:rsidR="00FB1300" w:rsidRPr="00A06391" w:rsidRDefault="00FB1300" w:rsidP="00FB1300">
            <w:pPr>
              <w:spacing w:line="240" w:lineRule="auto"/>
              <w:ind w:firstLineChars="0" w:firstLine="0"/>
              <w:jc w:val="center"/>
              <w:rPr>
                <w:sz w:val="15"/>
                <w:szCs w:val="15"/>
                <w:vertAlign w:val="superscript"/>
              </w:rPr>
            </w:pPr>
            <w:r w:rsidRPr="00A06391">
              <w:rPr>
                <w:rFonts w:hint="eastAsia"/>
                <w:sz w:val="15"/>
                <w:szCs w:val="15"/>
              </w:rPr>
              <w:t>0.000</w:t>
            </w:r>
            <w:r w:rsidRPr="00A06391">
              <w:rPr>
                <w:sz w:val="15"/>
                <w:szCs w:val="15"/>
              </w:rPr>
              <w:t>8</w:t>
            </w:r>
            <w:r w:rsidRPr="00A06391">
              <w:rPr>
                <w:sz w:val="15"/>
                <w:szCs w:val="15"/>
                <w:vertAlign w:val="superscript"/>
              </w:rPr>
              <w:t>***</w:t>
            </w:r>
          </w:p>
          <w:p w14:paraId="683E3A65" w14:textId="1FA91AE8" w:rsidR="00FB1300" w:rsidRPr="00B4486D" w:rsidRDefault="00FB1300" w:rsidP="00FB1300">
            <w:pPr>
              <w:spacing w:line="240" w:lineRule="auto"/>
              <w:ind w:firstLineChars="0" w:firstLine="0"/>
              <w:jc w:val="center"/>
              <w:rPr>
                <w:sz w:val="16"/>
                <w:szCs w:val="16"/>
              </w:rPr>
            </w:pPr>
            <w:r w:rsidRPr="00A06391">
              <w:rPr>
                <w:rFonts w:hint="eastAsia"/>
                <w:sz w:val="15"/>
                <w:szCs w:val="15"/>
              </w:rPr>
              <w:t>(0.0001)</w:t>
            </w:r>
          </w:p>
        </w:tc>
        <w:tc>
          <w:tcPr>
            <w:tcW w:w="476" w:type="pct"/>
            <w:vAlign w:val="center"/>
          </w:tcPr>
          <w:p w14:paraId="36532FA6" w14:textId="226B193E" w:rsidR="00FB1300" w:rsidRPr="00B4486D" w:rsidRDefault="00FB1300" w:rsidP="00FB1300">
            <w:pPr>
              <w:spacing w:line="240" w:lineRule="auto"/>
              <w:ind w:firstLineChars="0" w:firstLine="0"/>
              <w:jc w:val="center"/>
              <w:rPr>
                <w:sz w:val="16"/>
                <w:szCs w:val="16"/>
              </w:rPr>
            </w:pPr>
            <w:r w:rsidRPr="00A06391">
              <w:rPr>
                <w:rFonts w:hint="eastAsia"/>
                <w:sz w:val="15"/>
                <w:szCs w:val="15"/>
              </w:rPr>
              <w:t>-89</w:t>
            </w:r>
            <w:r w:rsidRPr="00A06391">
              <w:rPr>
                <w:sz w:val="15"/>
                <w:szCs w:val="15"/>
              </w:rPr>
              <w:t>74</w:t>
            </w:r>
            <w:r w:rsidRPr="00A06391">
              <w:rPr>
                <w:rFonts w:hint="eastAsia"/>
                <w:sz w:val="15"/>
                <w:szCs w:val="15"/>
              </w:rPr>
              <w:t>.</w:t>
            </w:r>
            <w:r w:rsidRPr="00A06391">
              <w:rPr>
                <w:sz w:val="15"/>
                <w:szCs w:val="15"/>
              </w:rPr>
              <w:t>36</w:t>
            </w:r>
          </w:p>
        </w:tc>
        <w:tc>
          <w:tcPr>
            <w:tcW w:w="474" w:type="pct"/>
            <w:vAlign w:val="center"/>
          </w:tcPr>
          <w:p w14:paraId="3057CFEB" w14:textId="78BEE554" w:rsidR="00FB1300" w:rsidRPr="00B4486D" w:rsidRDefault="00FB1300" w:rsidP="00FB1300">
            <w:pPr>
              <w:spacing w:line="240" w:lineRule="auto"/>
              <w:ind w:firstLineChars="0" w:firstLine="0"/>
              <w:jc w:val="center"/>
              <w:rPr>
                <w:sz w:val="16"/>
                <w:szCs w:val="16"/>
              </w:rPr>
            </w:pPr>
            <w:r w:rsidRPr="00A06391">
              <w:rPr>
                <w:rFonts w:hint="eastAsia"/>
                <w:sz w:val="15"/>
                <w:szCs w:val="15"/>
              </w:rPr>
              <w:t>-893</w:t>
            </w:r>
            <w:r w:rsidRPr="00A06391">
              <w:rPr>
                <w:sz w:val="15"/>
                <w:szCs w:val="15"/>
              </w:rPr>
              <w:t>9</w:t>
            </w:r>
            <w:r w:rsidRPr="00A06391">
              <w:rPr>
                <w:rFonts w:hint="eastAsia"/>
                <w:sz w:val="15"/>
                <w:szCs w:val="15"/>
              </w:rPr>
              <w:t>.</w:t>
            </w:r>
            <w:r w:rsidRPr="00A06391">
              <w:rPr>
                <w:sz w:val="15"/>
                <w:szCs w:val="15"/>
              </w:rPr>
              <w:t>7</w:t>
            </w:r>
          </w:p>
        </w:tc>
        <w:tc>
          <w:tcPr>
            <w:tcW w:w="485" w:type="pct"/>
            <w:vAlign w:val="center"/>
          </w:tcPr>
          <w:p w14:paraId="33D03154" w14:textId="53E2122D" w:rsidR="00FB1300" w:rsidRPr="00B4486D" w:rsidRDefault="00FB1300" w:rsidP="00FB1300">
            <w:pPr>
              <w:spacing w:line="240" w:lineRule="auto"/>
              <w:ind w:firstLineChars="0" w:firstLine="0"/>
              <w:jc w:val="center"/>
              <w:rPr>
                <w:sz w:val="16"/>
                <w:szCs w:val="16"/>
              </w:rPr>
            </w:pPr>
            <w:r w:rsidRPr="00A06391">
              <w:rPr>
                <w:rFonts w:hint="eastAsia"/>
                <w:sz w:val="15"/>
                <w:szCs w:val="15"/>
              </w:rPr>
              <w:t>8.1</w:t>
            </w:r>
            <w:r w:rsidRPr="00A06391">
              <w:rPr>
                <w:sz w:val="15"/>
                <w:szCs w:val="15"/>
              </w:rPr>
              <w:t>45</w:t>
            </w:r>
            <w:r w:rsidRPr="00A06391">
              <w:rPr>
                <w:rFonts w:hint="eastAsia"/>
                <w:sz w:val="15"/>
                <w:szCs w:val="15"/>
              </w:rPr>
              <w:t>e-04</w:t>
            </w:r>
          </w:p>
        </w:tc>
      </w:tr>
      <w:tr w:rsidR="00C26C69" w14:paraId="3375A912" w14:textId="77777777" w:rsidTr="00C26C69">
        <w:trPr>
          <w:trHeight w:val="671"/>
          <w:jc w:val="center"/>
        </w:trPr>
        <w:tc>
          <w:tcPr>
            <w:tcW w:w="593" w:type="pct"/>
            <w:vAlign w:val="center"/>
          </w:tcPr>
          <w:p w14:paraId="2BAFBCD4"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NDF</w:t>
            </w:r>
          </w:p>
        </w:tc>
        <w:tc>
          <w:tcPr>
            <w:tcW w:w="516" w:type="pct"/>
            <w:vAlign w:val="center"/>
          </w:tcPr>
          <w:p w14:paraId="0FEBCD90"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-0.0024</w:t>
            </w:r>
            <w:r w:rsidRPr="00B4486D">
              <w:rPr>
                <w:sz w:val="16"/>
                <w:szCs w:val="16"/>
                <w:vertAlign w:val="superscript"/>
              </w:rPr>
              <w:t>***</w:t>
            </w:r>
          </w:p>
          <w:p w14:paraId="6439B7CC"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(0.0003)</w:t>
            </w:r>
          </w:p>
        </w:tc>
        <w:tc>
          <w:tcPr>
            <w:tcW w:w="474" w:type="pct"/>
            <w:vAlign w:val="center"/>
          </w:tcPr>
          <w:p w14:paraId="154CE694"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0.4904</w:t>
            </w:r>
            <w:r w:rsidRPr="00B4486D">
              <w:rPr>
                <w:sz w:val="16"/>
                <w:szCs w:val="16"/>
                <w:vertAlign w:val="superscript"/>
              </w:rPr>
              <w:t>***</w:t>
            </w:r>
          </w:p>
          <w:p w14:paraId="42366A9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(0.0434)</w:t>
            </w:r>
          </w:p>
        </w:tc>
        <w:tc>
          <w:tcPr>
            <w:tcW w:w="477" w:type="pct"/>
            <w:vAlign w:val="center"/>
          </w:tcPr>
          <w:p w14:paraId="3CA43737"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0.31</w:t>
            </w:r>
            <w:r>
              <w:rPr>
                <w:sz w:val="16"/>
                <w:szCs w:val="16"/>
              </w:rPr>
              <w:t>14</w:t>
            </w:r>
            <w:r w:rsidRPr="00B4486D">
              <w:rPr>
                <w:sz w:val="16"/>
                <w:szCs w:val="16"/>
                <w:vertAlign w:val="superscript"/>
              </w:rPr>
              <w:t>***</w:t>
            </w:r>
          </w:p>
          <w:p w14:paraId="02E70556"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(0.0398)</w:t>
            </w:r>
          </w:p>
        </w:tc>
        <w:tc>
          <w:tcPr>
            <w:tcW w:w="475" w:type="pct"/>
            <w:vAlign w:val="center"/>
          </w:tcPr>
          <w:p w14:paraId="73C46B3D"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2.7</w:t>
            </w:r>
            <w:r>
              <w:rPr>
                <w:sz w:val="16"/>
                <w:szCs w:val="16"/>
              </w:rPr>
              <w:t>504</w:t>
            </w:r>
            <w:r w:rsidRPr="00B4486D">
              <w:rPr>
                <w:sz w:val="16"/>
                <w:szCs w:val="16"/>
                <w:vertAlign w:val="superscript"/>
              </w:rPr>
              <w:t>***</w:t>
            </w:r>
          </w:p>
          <w:p w14:paraId="5152E970"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(0.45</w:t>
            </w:r>
            <w:r>
              <w:rPr>
                <w:sz w:val="16"/>
                <w:szCs w:val="16"/>
              </w:rPr>
              <w:t>58</w:t>
            </w:r>
            <w:r w:rsidRPr="00B4486D">
              <w:rPr>
                <w:rFonts w:hint="eastAsia"/>
                <w:sz w:val="16"/>
                <w:szCs w:val="16"/>
              </w:rPr>
              <w:t>)</w:t>
            </w:r>
          </w:p>
        </w:tc>
        <w:tc>
          <w:tcPr>
            <w:tcW w:w="475" w:type="pct"/>
            <w:vAlign w:val="center"/>
          </w:tcPr>
          <w:p w14:paraId="74D25C34"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2.</w:t>
            </w:r>
            <w:r>
              <w:rPr>
                <w:sz w:val="16"/>
                <w:szCs w:val="16"/>
              </w:rPr>
              <w:t>7107</w:t>
            </w:r>
            <w:r w:rsidRPr="00B4486D">
              <w:rPr>
                <w:sz w:val="16"/>
                <w:szCs w:val="16"/>
                <w:vertAlign w:val="superscript"/>
              </w:rPr>
              <w:t>*</w:t>
            </w:r>
          </w:p>
          <w:p w14:paraId="45283405"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(1.</w:t>
            </w:r>
            <w:r>
              <w:rPr>
                <w:sz w:val="16"/>
                <w:szCs w:val="16"/>
              </w:rPr>
              <w:t>5</w:t>
            </w:r>
            <w:r w:rsidRPr="00B4486D">
              <w:rPr>
                <w:rFonts w:hint="eastAsia"/>
                <w:sz w:val="16"/>
                <w:szCs w:val="16"/>
              </w:rPr>
              <w:t>142)</w:t>
            </w:r>
          </w:p>
        </w:tc>
        <w:tc>
          <w:tcPr>
            <w:tcW w:w="554" w:type="pct"/>
            <w:vAlign w:val="center"/>
          </w:tcPr>
          <w:p w14:paraId="32608AD8"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-0.0014</w:t>
            </w:r>
            <w:r w:rsidRPr="00B4486D">
              <w:rPr>
                <w:sz w:val="16"/>
                <w:szCs w:val="16"/>
                <w:vertAlign w:val="superscript"/>
              </w:rPr>
              <w:t>***</w:t>
            </w:r>
          </w:p>
          <w:p w14:paraId="3CBB50F1"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(0.0002)</w:t>
            </w:r>
          </w:p>
        </w:tc>
        <w:tc>
          <w:tcPr>
            <w:tcW w:w="476" w:type="pct"/>
            <w:vAlign w:val="center"/>
          </w:tcPr>
          <w:p w14:paraId="791D0A8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-8943.8</w:t>
            </w:r>
          </w:p>
        </w:tc>
        <w:tc>
          <w:tcPr>
            <w:tcW w:w="474" w:type="pct"/>
            <w:vAlign w:val="center"/>
          </w:tcPr>
          <w:p w14:paraId="6A2A1391"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-8909.14</w:t>
            </w:r>
          </w:p>
        </w:tc>
        <w:tc>
          <w:tcPr>
            <w:tcW w:w="485" w:type="pct"/>
            <w:vAlign w:val="center"/>
          </w:tcPr>
          <w:p w14:paraId="6B3D8DCC"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Pr>
                <w:sz w:val="16"/>
                <w:szCs w:val="16"/>
              </w:rPr>
              <w:t>163</w:t>
            </w:r>
            <w:r w:rsidRPr="00B4486D">
              <w:rPr>
                <w:rFonts w:hint="eastAsia"/>
                <w:sz w:val="16"/>
                <w:szCs w:val="16"/>
              </w:rPr>
              <w:t>e-04</w:t>
            </w:r>
          </w:p>
        </w:tc>
      </w:tr>
      <w:tr w:rsidR="00C26C69" w14:paraId="4283C8E4" w14:textId="77777777" w:rsidTr="00C26C69">
        <w:trPr>
          <w:trHeight w:val="669"/>
          <w:jc w:val="center"/>
        </w:trPr>
        <w:tc>
          <w:tcPr>
            <w:tcW w:w="593" w:type="pct"/>
            <w:vAlign w:val="center"/>
          </w:tcPr>
          <w:p w14:paraId="43E3E8FC"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EPU</w:t>
            </w:r>
          </w:p>
        </w:tc>
        <w:tc>
          <w:tcPr>
            <w:tcW w:w="516" w:type="pct"/>
            <w:vAlign w:val="center"/>
          </w:tcPr>
          <w:p w14:paraId="196DF666"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w:t>
            </w:r>
            <w:r>
              <w:rPr>
                <w:sz w:val="16"/>
                <w:szCs w:val="16"/>
              </w:rPr>
              <w:t>30</w:t>
            </w:r>
            <w:r w:rsidRPr="00B4486D">
              <w:rPr>
                <w:sz w:val="16"/>
                <w:szCs w:val="16"/>
                <w:vertAlign w:val="superscript"/>
              </w:rPr>
              <w:t>***</w:t>
            </w:r>
          </w:p>
          <w:p w14:paraId="2A925B48"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w:t>
            </w:r>
            <w:r>
              <w:rPr>
                <w:sz w:val="16"/>
                <w:szCs w:val="16"/>
              </w:rPr>
              <w:t>2</w:t>
            </w:r>
            <w:r w:rsidRPr="00B4486D">
              <w:rPr>
                <w:rFonts w:hint="eastAsia"/>
                <w:sz w:val="16"/>
                <w:szCs w:val="16"/>
              </w:rPr>
              <w:t>)</w:t>
            </w:r>
          </w:p>
        </w:tc>
        <w:tc>
          <w:tcPr>
            <w:tcW w:w="474" w:type="pct"/>
            <w:vAlign w:val="center"/>
          </w:tcPr>
          <w:p w14:paraId="4BC4A3C9"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0.0500</w:t>
            </w:r>
            <w:r w:rsidRPr="00B4486D">
              <w:rPr>
                <w:sz w:val="16"/>
                <w:szCs w:val="16"/>
                <w:vertAlign w:val="superscript"/>
              </w:rPr>
              <w:t>***</w:t>
            </w:r>
          </w:p>
          <w:p w14:paraId="51CC2C90"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w:t>
            </w:r>
            <w:r>
              <w:rPr>
                <w:sz w:val="16"/>
                <w:szCs w:val="16"/>
              </w:rPr>
              <w:t>34</w:t>
            </w:r>
            <w:r>
              <w:rPr>
                <w:rFonts w:hint="eastAsia"/>
                <w:sz w:val="16"/>
                <w:szCs w:val="16"/>
              </w:rPr>
              <w:t>)</w:t>
            </w:r>
          </w:p>
        </w:tc>
        <w:tc>
          <w:tcPr>
            <w:tcW w:w="477" w:type="pct"/>
            <w:vAlign w:val="center"/>
          </w:tcPr>
          <w:p w14:paraId="20D66249"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0.9000</w:t>
            </w:r>
            <w:r w:rsidRPr="00B4486D">
              <w:rPr>
                <w:sz w:val="16"/>
                <w:szCs w:val="16"/>
                <w:vertAlign w:val="superscript"/>
              </w:rPr>
              <w:t>***</w:t>
            </w:r>
          </w:p>
          <w:p w14:paraId="5B85596B"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072</w:t>
            </w:r>
            <w:r w:rsidRPr="00B4486D">
              <w:rPr>
                <w:rFonts w:hint="eastAsia"/>
                <w:sz w:val="16"/>
                <w:szCs w:val="16"/>
              </w:rPr>
              <w:t xml:space="preserve"> )</w:t>
            </w:r>
          </w:p>
        </w:tc>
        <w:tc>
          <w:tcPr>
            <w:tcW w:w="475" w:type="pct"/>
            <w:vAlign w:val="center"/>
          </w:tcPr>
          <w:p w14:paraId="25C441FA"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0.0993</w:t>
            </w:r>
            <w:r w:rsidRPr="00B4486D">
              <w:rPr>
                <w:sz w:val="16"/>
                <w:szCs w:val="16"/>
                <w:vertAlign w:val="superscript"/>
              </w:rPr>
              <w:t>***</w:t>
            </w:r>
          </w:p>
          <w:p w14:paraId="7523E112"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051</w:t>
            </w:r>
            <w:r>
              <w:rPr>
                <w:rFonts w:hint="eastAsia"/>
                <w:sz w:val="16"/>
                <w:szCs w:val="16"/>
              </w:rPr>
              <w:t>)</w:t>
            </w:r>
          </w:p>
        </w:tc>
        <w:tc>
          <w:tcPr>
            <w:tcW w:w="475" w:type="pct"/>
            <w:vAlign w:val="center"/>
          </w:tcPr>
          <w:p w14:paraId="7C7E53CA"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5</w:t>
            </w:r>
            <w:r w:rsidRPr="00B4486D">
              <w:rPr>
                <w:sz w:val="16"/>
                <w:szCs w:val="16"/>
                <w:vertAlign w:val="superscript"/>
              </w:rPr>
              <w:t>***</w:t>
            </w:r>
          </w:p>
          <w:p w14:paraId="15616E16"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0.6219</w:t>
            </w:r>
            <w:r w:rsidRPr="00B4486D">
              <w:rPr>
                <w:rFonts w:hint="eastAsia"/>
                <w:sz w:val="16"/>
                <w:szCs w:val="16"/>
              </w:rPr>
              <w:t>)</w:t>
            </w:r>
          </w:p>
        </w:tc>
        <w:tc>
          <w:tcPr>
            <w:tcW w:w="554" w:type="pct"/>
            <w:vAlign w:val="center"/>
          </w:tcPr>
          <w:p w14:paraId="55C905A7"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-0.0007</w:t>
            </w:r>
            <w:r w:rsidRPr="00B4486D">
              <w:rPr>
                <w:sz w:val="16"/>
                <w:szCs w:val="16"/>
                <w:vertAlign w:val="superscript"/>
              </w:rPr>
              <w:t>***</w:t>
            </w:r>
          </w:p>
          <w:p w14:paraId="1BEAB255"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(0.0001)</w:t>
            </w:r>
          </w:p>
        </w:tc>
        <w:tc>
          <w:tcPr>
            <w:tcW w:w="476" w:type="pct"/>
            <w:vAlign w:val="center"/>
          </w:tcPr>
          <w:p w14:paraId="15C8387B"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8044.14</w:t>
            </w:r>
          </w:p>
        </w:tc>
        <w:tc>
          <w:tcPr>
            <w:tcW w:w="474" w:type="pct"/>
            <w:vAlign w:val="center"/>
          </w:tcPr>
          <w:p w14:paraId="3D2B72BE"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8009</w:t>
            </w:r>
            <w:r w:rsidRPr="00B4486D">
              <w:rPr>
                <w:rFonts w:hint="eastAsia"/>
                <w:sz w:val="16"/>
                <w:szCs w:val="16"/>
              </w:rPr>
              <w:t>.</w:t>
            </w:r>
            <w:r>
              <w:rPr>
                <w:sz w:val="16"/>
                <w:szCs w:val="16"/>
              </w:rPr>
              <w:t>48</w:t>
            </w:r>
          </w:p>
        </w:tc>
        <w:tc>
          <w:tcPr>
            <w:tcW w:w="485" w:type="pct"/>
            <w:vAlign w:val="center"/>
          </w:tcPr>
          <w:p w14:paraId="46DDB55F"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1.</w:t>
            </w:r>
            <w:r>
              <w:rPr>
                <w:sz w:val="16"/>
                <w:szCs w:val="16"/>
              </w:rPr>
              <w:t>329</w:t>
            </w:r>
            <w:r w:rsidRPr="00B4486D">
              <w:rPr>
                <w:rFonts w:hint="eastAsia"/>
                <w:sz w:val="16"/>
                <w:szCs w:val="16"/>
              </w:rPr>
              <w:t>e-03</w:t>
            </w:r>
          </w:p>
        </w:tc>
      </w:tr>
      <w:tr w:rsidR="00C26C69" w14:paraId="0B017EA0" w14:textId="77777777" w:rsidTr="00C26C69">
        <w:trPr>
          <w:trHeight w:val="669"/>
          <w:jc w:val="center"/>
        </w:trPr>
        <w:tc>
          <w:tcPr>
            <w:tcW w:w="593" w:type="pct"/>
            <w:vAlign w:val="center"/>
          </w:tcPr>
          <w:p w14:paraId="54BEA253"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GPR</w:t>
            </w:r>
          </w:p>
        </w:tc>
        <w:tc>
          <w:tcPr>
            <w:tcW w:w="516" w:type="pct"/>
            <w:vAlign w:val="center"/>
          </w:tcPr>
          <w:p w14:paraId="30663FA4"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-0.002</w:t>
            </w:r>
            <w:r>
              <w:rPr>
                <w:sz w:val="16"/>
                <w:szCs w:val="16"/>
              </w:rPr>
              <w:t>4</w:t>
            </w:r>
            <w:r w:rsidRPr="00B4486D">
              <w:rPr>
                <w:sz w:val="16"/>
                <w:szCs w:val="16"/>
                <w:vertAlign w:val="superscript"/>
              </w:rPr>
              <w:t>***</w:t>
            </w:r>
          </w:p>
          <w:p w14:paraId="5DA4493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w:t>
            </w:r>
            <w:r>
              <w:rPr>
                <w:sz w:val="16"/>
                <w:szCs w:val="16"/>
              </w:rPr>
              <w:t>3</w:t>
            </w:r>
            <w:r w:rsidRPr="00B4486D">
              <w:rPr>
                <w:rFonts w:hint="eastAsia"/>
                <w:sz w:val="16"/>
                <w:szCs w:val="16"/>
              </w:rPr>
              <w:t>)</w:t>
            </w:r>
          </w:p>
        </w:tc>
        <w:tc>
          <w:tcPr>
            <w:tcW w:w="474" w:type="pct"/>
            <w:vAlign w:val="center"/>
          </w:tcPr>
          <w:p w14:paraId="0299F6F6"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w:t>
            </w:r>
            <w:r>
              <w:rPr>
                <w:sz w:val="16"/>
                <w:szCs w:val="16"/>
              </w:rPr>
              <w:t>50</w:t>
            </w:r>
            <w:r w:rsidRPr="00B4486D">
              <w:rPr>
                <w:rFonts w:hint="eastAsia"/>
                <w:sz w:val="16"/>
                <w:szCs w:val="16"/>
              </w:rPr>
              <w:t>0</w:t>
            </w:r>
            <w:r>
              <w:rPr>
                <w:sz w:val="16"/>
                <w:szCs w:val="16"/>
              </w:rPr>
              <w:t>1</w:t>
            </w:r>
            <w:r w:rsidRPr="00B4486D">
              <w:rPr>
                <w:sz w:val="16"/>
                <w:szCs w:val="16"/>
                <w:vertAlign w:val="superscript"/>
              </w:rPr>
              <w:t>***</w:t>
            </w:r>
          </w:p>
          <w:p w14:paraId="67A3FA61"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427</w:t>
            </w:r>
            <w:r w:rsidRPr="00B4486D">
              <w:rPr>
                <w:rFonts w:hint="eastAsia"/>
                <w:sz w:val="16"/>
                <w:szCs w:val="16"/>
              </w:rPr>
              <w:t>)</w:t>
            </w:r>
          </w:p>
        </w:tc>
        <w:tc>
          <w:tcPr>
            <w:tcW w:w="477" w:type="pct"/>
            <w:vAlign w:val="center"/>
          </w:tcPr>
          <w:p w14:paraId="18C9523B"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w:t>
            </w:r>
            <w:r>
              <w:rPr>
                <w:sz w:val="16"/>
                <w:szCs w:val="16"/>
              </w:rPr>
              <w:t>3051</w:t>
            </w:r>
            <w:r w:rsidRPr="00B4486D">
              <w:rPr>
                <w:sz w:val="16"/>
                <w:szCs w:val="16"/>
                <w:vertAlign w:val="superscript"/>
              </w:rPr>
              <w:t>***</w:t>
            </w:r>
          </w:p>
          <w:p w14:paraId="7E6456A1"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( 0.0</w:t>
            </w:r>
            <w:r>
              <w:rPr>
                <w:sz w:val="16"/>
                <w:szCs w:val="16"/>
              </w:rPr>
              <w:t>376</w:t>
            </w:r>
            <w:r w:rsidRPr="00B4486D">
              <w:rPr>
                <w:rFonts w:hint="eastAsia"/>
                <w:sz w:val="16"/>
                <w:szCs w:val="16"/>
              </w:rPr>
              <w:t>)</w:t>
            </w:r>
          </w:p>
        </w:tc>
        <w:tc>
          <w:tcPr>
            <w:tcW w:w="475" w:type="pct"/>
            <w:vAlign w:val="center"/>
          </w:tcPr>
          <w:p w14:paraId="6A5C5D57"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159</w:t>
            </w:r>
            <w:r w:rsidRPr="00B4486D">
              <w:rPr>
                <w:sz w:val="16"/>
                <w:szCs w:val="16"/>
                <w:vertAlign w:val="superscript"/>
              </w:rPr>
              <w:t>***</w:t>
            </w:r>
            <w:r w:rsidRPr="00B4486D">
              <w:rPr>
                <w:rFonts w:hint="eastAsia"/>
                <w:sz w:val="16"/>
                <w:szCs w:val="16"/>
              </w:rPr>
              <w:t xml:space="preserve">   </w:t>
            </w:r>
          </w:p>
          <w:p w14:paraId="7475C05F"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038</w:t>
            </w:r>
            <w:r w:rsidRPr="00B4486D">
              <w:rPr>
                <w:rFonts w:hint="eastAsia"/>
                <w:sz w:val="16"/>
                <w:szCs w:val="16"/>
              </w:rPr>
              <w:t>)</w:t>
            </w:r>
          </w:p>
        </w:tc>
        <w:tc>
          <w:tcPr>
            <w:tcW w:w="475" w:type="pct"/>
            <w:vAlign w:val="center"/>
          </w:tcPr>
          <w:p w14:paraId="646200AF" w14:textId="77777777" w:rsidR="00416544" w:rsidRPr="002C464C" w:rsidRDefault="00416544" w:rsidP="00416544">
            <w:pPr>
              <w:spacing w:line="240" w:lineRule="auto"/>
              <w:ind w:firstLineChars="0" w:firstLine="0"/>
              <w:jc w:val="center"/>
              <w:rPr>
                <w:sz w:val="16"/>
                <w:szCs w:val="16"/>
              </w:rPr>
            </w:pPr>
            <w:r>
              <w:rPr>
                <w:rFonts w:hint="eastAsia"/>
                <w:sz w:val="16"/>
                <w:szCs w:val="16"/>
              </w:rPr>
              <w:t>4</w:t>
            </w:r>
            <w:r>
              <w:rPr>
                <w:sz w:val="16"/>
                <w:szCs w:val="16"/>
              </w:rPr>
              <w:t>9.972</w:t>
            </w:r>
          </w:p>
          <w:p w14:paraId="1EC1234D"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44.852</w:t>
            </w:r>
            <w:r w:rsidRPr="00B4486D">
              <w:rPr>
                <w:rFonts w:hint="eastAsia"/>
                <w:sz w:val="16"/>
                <w:szCs w:val="16"/>
              </w:rPr>
              <w:t>)</w:t>
            </w:r>
          </w:p>
        </w:tc>
        <w:tc>
          <w:tcPr>
            <w:tcW w:w="554" w:type="pct"/>
            <w:vAlign w:val="center"/>
          </w:tcPr>
          <w:p w14:paraId="7273FFC3"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-0.000</w:t>
            </w:r>
            <w:r>
              <w:rPr>
                <w:sz w:val="16"/>
                <w:szCs w:val="16"/>
              </w:rPr>
              <w:t>2</w:t>
            </w:r>
            <w:r w:rsidRPr="00B4486D">
              <w:rPr>
                <w:sz w:val="16"/>
                <w:szCs w:val="16"/>
                <w:vertAlign w:val="superscript"/>
              </w:rPr>
              <w:t>*</w:t>
            </w:r>
          </w:p>
          <w:p w14:paraId="6727BDEB"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w:t>
            </w:r>
            <w:r>
              <w:rPr>
                <w:sz w:val="16"/>
                <w:szCs w:val="16"/>
              </w:rPr>
              <w:t>0</w:t>
            </w:r>
            <w:r w:rsidRPr="00B4486D">
              <w:rPr>
                <w:rFonts w:hint="eastAsia"/>
                <w:sz w:val="16"/>
                <w:szCs w:val="16"/>
              </w:rPr>
              <w:t>)</w:t>
            </w:r>
          </w:p>
        </w:tc>
        <w:tc>
          <w:tcPr>
            <w:tcW w:w="476" w:type="pct"/>
            <w:vAlign w:val="center"/>
          </w:tcPr>
          <w:p w14:paraId="7AADD7BB"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Pr>
                <w:sz w:val="16"/>
                <w:szCs w:val="16"/>
              </w:rPr>
              <w:t>944</w:t>
            </w:r>
            <w:r w:rsidRPr="00B4486D">
              <w:rPr>
                <w:rFonts w:hint="eastAsia"/>
                <w:sz w:val="16"/>
                <w:szCs w:val="16"/>
              </w:rPr>
              <w:t>.</w:t>
            </w:r>
            <w:r>
              <w:rPr>
                <w:sz w:val="16"/>
                <w:szCs w:val="16"/>
              </w:rPr>
              <w:t>25</w:t>
            </w:r>
          </w:p>
        </w:tc>
        <w:tc>
          <w:tcPr>
            <w:tcW w:w="474" w:type="pct"/>
            <w:vAlign w:val="center"/>
          </w:tcPr>
          <w:p w14:paraId="7A3A0855"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Pr>
                <w:sz w:val="16"/>
                <w:szCs w:val="16"/>
              </w:rPr>
              <w:t>90</w:t>
            </w:r>
            <w:r w:rsidRPr="00B4486D">
              <w:rPr>
                <w:rFonts w:hint="eastAsia"/>
                <w:sz w:val="16"/>
                <w:szCs w:val="16"/>
              </w:rPr>
              <w:t>9.</w:t>
            </w:r>
            <w:r>
              <w:rPr>
                <w:sz w:val="16"/>
                <w:szCs w:val="16"/>
              </w:rPr>
              <w:t>6</w:t>
            </w:r>
          </w:p>
        </w:tc>
        <w:tc>
          <w:tcPr>
            <w:tcW w:w="485" w:type="pct"/>
            <w:vAlign w:val="center"/>
          </w:tcPr>
          <w:p w14:paraId="1F5E9832" w14:textId="77777777" w:rsidR="00416544" w:rsidRPr="00B4486D" w:rsidRDefault="00416544" w:rsidP="00416544">
            <w:pPr>
              <w:spacing w:line="240" w:lineRule="auto"/>
              <w:ind w:firstLineChars="0" w:firstLine="0"/>
              <w:jc w:val="center"/>
              <w:rPr>
                <w:sz w:val="16"/>
                <w:szCs w:val="16"/>
              </w:rPr>
            </w:pPr>
            <w:r>
              <w:rPr>
                <w:sz w:val="16"/>
                <w:szCs w:val="16"/>
              </w:rPr>
              <w:t>8.151</w:t>
            </w:r>
            <w:r w:rsidRPr="00B4486D">
              <w:rPr>
                <w:rFonts w:hint="eastAsia"/>
                <w:sz w:val="16"/>
                <w:szCs w:val="16"/>
              </w:rPr>
              <w:t>e-0</w:t>
            </w:r>
            <w:r>
              <w:rPr>
                <w:sz w:val="16"/>
                <w:szCs w:val="16"/>
              </w:rPr>
              <w:t>4</w:t>
            </w:r>
          </w:p>
        </w:tc>
      </w:tr>
      <w:tr w:rsidR="00C26C69" w14:paraId="2E1F0A67" w14:textId="77777777" w:rsidTr="00C26C69">
        <w:trPr>
          <w:trHeight w:val="555"/>
          <w:jc w:val="center"/>
        </w:trPr>
        <w:tc>
          <w:tcPr>
            <w:tcW w:w="593" w:type="pct"/>
            <w:vAlign w:val="center"/>
          </w:tcPr>
          <w:p w14:paraId="5363660A"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CNH-Baidu</w:t>
            </w:r>
          </w:p>
        </w:tc>
        <w:tc>
          <w:tcPr>
            <w:tcW w:w="516" w:type="pct"/>
            <w:vAlign w:val="center"/>
          </w:tcPr>
          <w:p w14:paraId="274E6407" w14:textId="77777777" w:rsidR="00416544" w:rsidRPr="000A21FD" w:rsidRDefault="00416544" w:rsidP="00416544">
            <w:pPr>
              <w:spacing w:line="240" w:lineRule="auto"/>
              <w:ind w:firstLineChars="0" w:firstLine="0"/>
              <w:jc w:val="center"/>
              <w:rPr>
                <w:sz w:val="16"/>
                <w:szCs w:val="16"/>
                <w:vertAlign w:val="superscript"/>
              </w:rPr>
            </w:pPr>
            <w:r w:rsidRPr="00B4486D">
              <w:rPr>
                <w:rFonts w:hint="eastAsia"/>
                <w:sz w:val="16"/>
                <w:szCs w:val="16"/>
              </w:rPr>
              <w:t>-0.002</w:t>
            </w:r>
            <w:r>
              <w:rPr>
                <w:sz w:val="16"/>
                <w:szCs w:val="16"/>
              </w:rPr>
              <w:t>5</w:t>
            </w:r>
            <w:r>
              <w:rPr>
                <w:sz w:val="16"/>
                <w:szCs w:val="16"/>
                <w:vertAlign w:val="superscript"/>
              </w:rPr>
              <w:t>***</w:t>
            </w:r>
          </w:p>
          <w:p w14:paraId="05602495"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w:t>
            </w:r>
            <w:r>
              <w:rPr>
                <w:sz w:val="16"/>
                <w:szCs w:val="16"/>
              </w:rPr>
              <w:t>03</w:t>
            </w:r>
            <w:r w:rsidRPr="00B4486D">
              <w:rPr>
                <w:rFonts w:hint="eastAsia"/>
                <w:sz w:val="16"/>
                <w:szCs w:val="16"/>
              </w:rPr>
              <w:t>)</w:t>
            </w:r>
          </w:p>
        </w:tc>
        <w:tc>
          <w:tcPr>
            <w:tcW w:w="474" w:type="pct"/>
            <w:vAlign w:val="center"/>
          </w:tcPr>
          <w:p w14:paraId="546818E8"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w:t>
            </w:r>
            <w:r>
              <w:rPr>
                <w:sz w:val="16"/>
                <w:szCs w:val="16"/>
              </w:rPr>
              <w:t>5060</w:t>
            </w:r>
            <w:r w:rsidRPr="00B4486D">
              <w:rPr>
                <w:sz w:val="16"/>
                <w:szCs w:val="16"/>
                <w:vertAlign w:val="superscript"/>
              </w:rPr>
              <w:t>***</w:t>
            </w:r>
          </w:p>
          <w:p w14:paraId="38905FA3"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434</w:t>
            </w:r>
            <w:r w:rsidRPr="00B4486D">
              <w:rPr>
                <w:rFonts w:hint="eastAsia"/>
                <w:sz w:val="16"/>
                <w:szCs w:val="16"/>
              </w:rPr>
              <w:t>)</w:t>
            </w:r>
          </w:p>
        </w:tc>
        <w:tc>
          <w:tcPr>
            <w:tcW w:w="477" w:type="pct"/>
            <w:vAlign w:val="center"/>
          </w:tcPr>
          <w:p w14:paraId="15B1C483"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w:t>
            </w:r>
            <w:r>
              <w:rPr>
                <w:sz w:val="16"/>
                <w:szCs w:val="16"/>
              </w:rPr>
              <w:t>2732</w:t>
            </w:r>
            <w:r w:rsidRPr="00B4486D">
              <w:rPr>
                <w:sz w:val="16"/>
                <w:szCs w:val="16"/>
                <w:vertAlign w:val="superscript"/>
              </w:rPr>
              <w:t>***</w:t>
            </w:r>
          </w:p>
          <w:p w14:paraId="5FCC9654"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( 0.0</w:t>
            </w:r>
            <w:r>
              <w:rPr>
                <w:sz w:val="16"/>
                <w:szCs w:val="16"/>
              </w:rPr>
              <w:t>450</w:t>
            </w:r>
            <w:r w:rsidRPr="00B4486D">
              <w:rPr>
                <w:rFonts w:hint="eastAsia"/>
                <w:sz w:val="16"/>
                <w:szCs w:val="16"/>
              </w:rPr>
              <w:t>)</w:t>
            </w:r>
          </w:p>
        </w:tc>
        <w:tc>
          <w:tcPr>
            <w:tcW w:w="475" w:type="pct"/>
            <w:vAlign w:val="center"/>
          </w:tcPr>
          <w:p w14:paraId="46AFEBF5"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w:t>
            </w:r>
            <w:r>
              <w:rPr>
                <w:sz w:val="16"/>
                <w:szCs w:val="16"/>
              </w:rPr>
              <w:t>162</w:t>
            </w:r>
            <w:r w:rsidRPr="00B4486D">
              <w:rPr>
                <w:sz w:val="16"/>
                <w:szCs w:val="16"/>
                <w:vertAlign w:val="superscript"/>
              </w:rPr>
              <w:t>***</w:t>
            </w:r>
          </w:p>
          <w:p w14:paraId="65FBEEDE"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w:t>
            </w:r>
            <w:r>
              <w:rPr>
                <w:sz w:val="16"/>
                <w:szCs w:val="16"/>
              </w:rPr>
              <w:t>024</w:t>
            </w:r>
            <w:r w:rsidRPr="00B4486D">
              <w:rPr>
                <w:rFonts w:hint="eastAsia"/>
                <w:sz w:val="16"/>
                <w:szCs w:val="16"/>
              </w:rPr>
              <w:t>)</w:t>
            </w:r>
          </w:p>
        </w:tc>
        <w:tc>
          <w:tcPr>
            <w:tcW w:w="475" w:type="pct"/>
            <w:vAlign w:val="center"/>
          </w:tcPr>
          <w:p w14:paraId="0D07A4D3" w14:textId="77777777" w:rsidR="00416544" w:rsidRPr="00B4486D" w:rsidRDefault="00416544" w:rsidP="00416544">
            <w:pPr>
              <w:spacing w:line="240" w:lineRule="auto"/>
              <w:ind w:firstLineChars="0" w:firstLine="0"/>
              <w:jc w:val="center"/>
              <w:rPr>
                <w:sz w:val="16"/>
                <w:szCs w:val="16"/>
              </w:rPr>
            </w:pPr>
            <w:r>
              <w:rPr>
                <w:sz w:val="16"/>
                <w:szCs w:val="16"/>
              </w:rPr>
              <w:t>1.0373</w:t>
            </w:r>
            <w:r w:rsidRPr="00B4486D">
              <w:rPr>
                <w:sz w:val="16"/>
                <w:szCs w:val="16"/>
                <w:vertAlign w:val="superscript"/>
              </w:rPr>
              <w:t>**</w:t>
            </w:r>
            <w:r w:rsidRPr="00B4486D">
              <w:rPr>
                <w:rFonts w:hint="eastAsia"/>
                <w:sz w:val="16"/>
                <w:szCs w:val="16"/>
              </w:rPr>
              <w:t xml:space="preserve"> (</w:t>
            </w:r>
            <w:r>
              <w:rPr>
                <w:sz w:val="16"/>
                <w:szCs w:val="16"/>
              </w:rPr>
              <w:t>0.1788</w:t>
            </w:r>
            <w:r w:rsidRPr="00B4486D">
              <w:rPr>
                <w:rFonts w:hint="eastAsia"/>
                <w:sz w:val="16"/>
                <w:szCs w:val="16"/>
              </w:rPr>
              <w:t>)</w:t>
            </w:r>
          </w:p>
        </w:tc>
        <w:tc>
          <w:tcPr>
            <w:tcW w:w="554" w:type="pct"/>
            <w:vAlign w:val="center"/>
          </w:tcPr>
          <w:p w14:paraId="794AF4E3"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w:t>
            </w:r>
            <w:r>
              <w:rPr>
                <w:sz w:val="16"/>
                <w:szCs w:val="16"/>
              </w:rPr>
              <w:t>00</w:t>
            </w:r>
          </w:p>
          <w:p w14:paraId="4BA1982F"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w:t>
            </w:r>
            <w:r>
              <w:rPr>
                <w:sz w:val="16"/>
                <w:szCs w:val="16"/>
              </w:rPr>
              <w:t>0</w:t>
            </w:r>
            <w:r w:rsidRPr="00B4486D">
              <w:rPr>
                <w:rFonts w:hint="eastAsia"/>
                <w:sz w:val="16"/>
                <w:szCs w:val="16"/>
              </w:rPr>
              <w:t>)</w:t>
            </w:r>
          </w:p>
        </w:tc>
        <w:tc>
          <w:tcPr>
            <w:tcW w:w="476" w:type="pct"/>
            <w:vAlign w:val="center"/>
          </w:tcPr>
          <w:p w14:paraId="11581653"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8949</w:t>
            </w:r>
            <w:r w:rsidRPr="00B4486D">
              <w:rPr>
                <w:rFonts w:hint="eastAsia"/>
                <w:sz w:val="16"/>
                <w:szCs w:val="16"/>
              </w:rPr>
              <w:t>.</w:t>
            </w:r>
            <w:r>
              <w:rPr>
                <w:sz w:val="16"/>
                <w:szCs w:val="16"/>
              </w:rPr>
              <w:t>63</w:t>
            </w:r>
          </w:p>
        </w:tc>
        <w:tc>
          <w:tcPr>
            <w:tcW w:w="474" w:type="pct"/>
            <w:vAlign w:val="center"/>
          </w:tcPr>
          <w:p w14:paraId="7B5D1A0F"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Pr>
                <w:sz w:val="16"/>
                <w:szCs w:val="16"/>
              </w:rPr>
              <w:t>8914</w:t>
            </w:r>
            <w:r w:rsidRPr="00B4486D">
              <w:rPr>
                <w:rFonts w:hint="eastAsia"/>
                <w:sz w:val="16"/>
                <w:szCs w:val="16"/>
              </w:rPr>
              <w:t>.</w:t>
            </w:r>
            <w:r>
              <w:rPr>
                <w:sz w:val="16"/>
                <w:szCs w:val="16"/>
              </w:rPr>
              <w:t>97</w:t>
            </w:r>
          </w:p>
        </w:tc>
        <w:tc>
          <w:tcPr>
            <w:tcW w:w="485" w:type="pct"/>
            <w:vAlign w:val="center"/>
          </w:tcPr>
          <w:p w14:paraId="3DBD9C39" w14:textId="77777777" w:rsidR="00416544" w:rsidRPr="00B4486D" w:rsidRDefault="00416544" w:rsidP="00416544">
            <w:pPr>
              <w:spacing w:line="240" w:lineRule="auto"/>
              <w:ind w:firstLineChars="0" w:firstLine="0"/>
              <w:jc w:val="center"/>
              <w:rPr>
                <w:sz w:val="16"/>
                <w:szCs w:val="16"/>
              </w:rPr>
            </w:pPr>
            <w:r>
              <w:rPr>
                <w:sz w:val="16"/>
                <w:szCs w:val="16"/>
              </w:rPr>
              <w:t>8</w:t>
            </w:r>
            <w:r w:rsidRPr="00B4486D">
              <w:rPr>
                <w:rFonts w:hint="eastAsia"/>
                <w:sz w:val="16"/>
                <w:szCs w:val="16"/>
              </w:rPr>
              <w:t>.</w:t>
            </w:r>
            <w:r>
              <w:rPr>
                <w:sz w:val="16"/>
                <w:szCs w:val="16"/>
              </w:rPr>
              <w:t>134</w:t>
            </w:r>
            <w:r w:rsidRPr="00B4486D">
              <w:rPr>
                <w:rFonts w:hint="eastAsia"/>
                <w:sz w:val="16"/>
                <w:szCs w:val="16"/>
              </w:rPr>
              <w:t>e-0</w:t>
            </w:r>
            <w:r>
              <w:rPr>
                <w:sz w:val="16"/>
                <w:szCs w:val="16"/>
              </w:rPr>
              <w:t>4</w:t>
            </w:r>
          </w:p>
        </w:tc>
      </w:tr>
      <w:tr w:rsidR="00C26C69" w14:paraId="2EF6B458" w14:textId="77777777" w:rsidTr="00C26C69">
        <w:trPr>
          <w:trHeight w:val="778"/>
          <w:jc w:val="center"/>
        </w:trPr>
        <w:tc>
          <w:tcPr>
            <w:tcW w:w="593" w:type="pct"/>
            <w:vAlign w:val="center"/>
          </w:tcPr>
          <w:p w14:paraId="77DEE722"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CNH-Google</w:t>
            </w:r>
          </w:p>
        </w:tc>
        <w:tc>
          <w:tcPr>
            <w:tcW w:w="516" w:type="pct"/>
            <w:vAlign w:val="center"/>
          </w:tcPr>
          <w:p w14:paraId="3D55FBC3"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-0.0024</w:t>
            </w:r>
            <w:r w:rsidRPr="00B4486D">
              <w:rPr>
                <w:sz w:val="16"/>
                <w:szCs w:val="16"/>
                <w:vertAlign w:val="superscript"/>
              </w:rPr>
              <w:t>***</w:t>
            </w:r>
          </w:p>
          <w:p w14:paraId="26A83DC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(0.0003)</w:t>
            </w:r>
          </w:p>
        </w:tc>
        <w:tc>
          <w:tcPr>
            <w:tcW w:w="474" w:type="pct"/>
            <w:vAlign w:val="center"/>
          </w:tcPr>
          <w:p w14:paraId="1F57089C"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0.473</w:t>
            </w:r>
            <w:r>
              <w:rPr>
                <w:sz w:val="16"/>
                <w:szCs w:val="16"/>
              </w:rPr>
              <w:t>7</w:t>
            </w:r>
            <w:r w:rsidRPr="00B4486D">
              <w:rPr>
                <w:sz w:val="16"/>
                <w:szCs w:val="16"/>
                <w:vertAlign w:val="superscript"/>
              </w:rPr>
              <w:t>***</w:t>
            </w:r>
          </w:p>
          <w:p w14:paraId="68F2122D"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(0.0440)</w:t>
            </w:r>
          </w:p>
        </w:tc>
        <w:tc>
          <w:tcPr>
            <w:tcW w:w="477" w:type="pct"/>
            <w:vAlign w:val="center"/>
          </w:tcPr>
          <w:p w14:paraId="29B02975"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0.2957</w:t>
            </w:r>
            <w:r w:rsidRPr="00B4486D">
              <w:rPr>
                <w:sz w:val="16"/>
                <w:szCs w:val="16"/>
                <w:vertAlign w:val="superscript"/>
              </w:rPr>
              <w:t>***</w:t>
            </w:r>
          </w:p>
          <w:p w14:paraId="66333090"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(0.0393)</w:t>
            </w:r>
          </w:p>
        </w:tc>
        <w:tc>
          <w:tcPr>
            <w:tcW w:w="475" w:type="pct"/>
            <w:vAlign w:val="center"/>
          </w:tcPr>
          <w:p w14:paraId="54DAF3F4"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0.1913</w:t>
            </w:r>
            <w:r w:rsidRPr="00B4486D">
              <w:rPr>
                <w:sz w:val="16"/>
                <w:szCs w:val="16"/>
                <w:vertAlign w:val="superscript"/>
              </w:rPr>
              <w:t>***</w:t>
            </w:r>
          </w:p>
          <w:p w14:paraId="6ECDCA34"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(0.0309)</w:t>
            </w:r>
          </w:p>
        </w:tc>
        <w:tc>
          <w:tcPr>
            <w:tcW w:w="475" w:type="pct"/>
            <w:vAlign w:val="center"/>
          </w:tcPr>
          <w:p w14:paraId="67D322AD"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37.</w:t>
            </w:r>
            <w:r>
              <w:rPr>
                <w:sz w:val="16"/>
                <w:szCs w:val="16"/>
              </w:rPr>
              <w:t>568</w:t>
            </w:r>
            <w:r w:rsidRPr="00B4486D">
              <w:rPr>
                <w:sz w:val="16"/>
                <w:szCs w:val="16"/>
                <w:vertAlign w:val="superscript"/>
              </w:rPr>
              <w:t>**</w:t>
            </w:r>
          </w:p>
          <w:p w14:paraId="29E6355E"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(15.</w:t>
            </w:r>
            <w:r>
              <w:rPr>
                <w:sz w:val="16"/>
                <w:szCs w:val="16"/>
              </w:rPr>
              <w:t>918</w:t>
            </w:r>
            <w:r>
              <w:rPr>
                <w:rFonts w:hint="eastAsia"/>
                <w:sz w:val="16"/>
                <w:szCs w:val="16"/>
              </w:rPr>
              <w:t>)</w:t>
            </w:r>
          </w:p>
        </w:tc>
        <w:tc>
          <w:tcPr>
            <w:tcW w:w="554" w:type="pct"/>
            <w:vAlign w:val="center"/>
          </w:tcPr>
          <w:p w14:paraId="7F9A2DE9" w14:textId="77777777" w:rsidR="00416544" w:rsidRDefault="00416544" w:rsidP="00416544">
            <w:pPr>
              <w:spacing w:line="240" w:lineRule="auto"/>
              <w:ind w:firstLineChars="0" w:firstLine="0"/>
              <w:jc w:val="center"/>
              <w:rPr>
                <w:sz w:val="16"/>
                <w:szCs w:val="16"/>
              </w:rPr>
            </w:pPr>
            <w:r w:rsidRPr="00B4486D">
              <w:rPr>
                <w:rFonts w:hint="eastAsia"/>
                <w:sz w:val="16"/>
                <w:szCs w:val="16"/>
              </w:rPr>
              <w:t>3.2911e-05</w:t>
            </w:r>
          </w:p>
          <w:p w14:paraId="58E050E2" w14:textId="233F54D4"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sidR="00C26C69">
              <w:rPr>
                <w:sz w:val="16"/>
                <w:szCs w:val="16"/>
              </w:rPr>
              <w:t>0.0001</w:t>
            </w:r>
            <w:r w:rsidRPr="00B4486D">
              <w:rPr>
                <w:rFonts w:hint="eastAsia"/>
                <w:sz w:val="16"/>
                <w:szCs w:val="16"/>
              </w:rPr>
              <w:t>)</w:t>
            </w:r>
          </w:p>
        </w:tc>
        <w:tc>
          <w:tcPr>
            <w:tcW w:w="476" w:type="pct"/>
            <w:vAlign w:val="center"/>
          </w:tcPr>
          <w:p w14:paraId="308BD714"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-8915.82</w:t>
            </w:r>
          </w:p>
        </w:tc>
        <w:tc>
          <w:tcPr>
            <w:tcW w:w="474" w:type="pct"/>
            <w:vAlign w:val="center"/>
          </w:tcPr>
          <w:p w14:paraId="7FC6E018"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-8950.48</w:t>
            </w:r>
          </w:p>
        </w:tc>
        <w:tc>
          <w:tcPr>
            <w:tcW w:w="485" w:type="pct"/>
            <w:vAlign w:val="center"/>
          </w:tcPr>
          <w:p w14:paraId="0B900404"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Pr>
                <w:sz w:val="16"/>
                <w:szCs w:val="16"/>
              </w:rPr>
              <w:t>160</w:t>
            </w:r>
            <w:r w:rsidRPr="00B4486D">
              <w:rPr>
                <w:rFonts w:hint="eastAsia"/>
                <w:sz w:val="16"/>
                <w:szCs w:val="16"/>
              </w:rPr>
              <w:t>e-04</w:t>
            </w:r>
          </w:p>
        </w:tc>
      </w:tr>
      <w:tr w:rsidR="00C26C69" w14:paraId="4CC676C7" w14:textId="77777777" w:rsidTr="00C26C69">
        <w:trPr>
          <w:trHeight w:val="533"/>
          <w:jc w:val="center"/>
        </w:trPr>
        <w:tc>
          <w:tcPr>
            <w:tcW w:w="593" w:type="pct"/>
            <w:vAlign w:val="center"/>
          </w:tcPr>
          <w:p w14:paraId="497151DC"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t>X1</w:t>
            </w:r>
          </w:p>
        </w:tc>
        <w:tc>
          <w:tcPr>
            <w:tcW w:w="516" w:type="pct"/>
            <w:vAlign w:val="center"/>
          </w:tcPr>
          <w:p w14:paraId="1B5E401D"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-0.0023</w:t>
            </w:r>
            <w:r w:rsidRPr="00B4486D">
              <w:rPr>
                <w:sz w:val="16"/>
                <w:szCs w:val="16"/>
                <w:vertAlign w:val="superscript"/>
              </w:rPr>
              <w:t>***</w:t>
            </w:r>
          </w:p>
          <w:p w14:paraId="09CE4E30"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(0.0003)</w:t>
            </w:r>
          </w:p>
        </w:tc>
        <w:tc>
          <w:tcPr>
            <w:tcW w:w="474" w:type="pct"/>
            <w:vAlign w:val="center"/>
          </w:tcPr>
          <w:p w14:paraId="4A9A3D03"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0.4859</w:t>
            </w:r>
            <w:r w:rsidRPr="00B4486D">
              <w:rPr>
                <w:sz w:val="16"/>
                <w:szCs w:val="16"/>
                <w:vertAlign w:val="superscript"/>
              </w:rPr>
              <w:t>***</w:t>
            </w:r>
          </w:p>
          <w:p w14:paraId="1A237110"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(0.0436)</w:t>
            </w:r>
          </w:p>
        </w:tc>
        <w:tc>
          <w:tcPr>
            <w:tcW w:w="477" w:type="pct"/>
            <w:vAlign w:val="center"/>
          </w:tcPr>
          <w:p w14:paraId="5CB5258A" w14:textId="56C1AC94"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0.330</w:t>
            </w:r>
            <w:r w:rsidR="00AD1587">
              <w:rPr>
                <w:sz w:val="16"/>
                <w:szCs w:val="16"/>
              </w:rPr>
              <w:t>4</w:t>
            </w:r>
            <w:r w:rsidRPr="00B4486D">
              <w:rPr>
                <w:sz w:val="16"/>
                <w:szCs w:val="16"/>
                <w:vertAlign w:val="superscript"/>
              </w:rPr>
              <w:t>***</w:t>
            </w:r>
          </w:p>
          <w:p w14:paraId="2C6DF7D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( 0.0381)</w:t>
            </w:r>
          </w:p>
        </w:tc>
        <w:tc>
          <w:tcPr>
            <w:tcW w:w="475" w:type="pct"/>
            <w:vAlign w:val="center"/>
          </w:tcPr>
          <w:p w14:paraId="11CA1C12" w14:textId="0CE42E84"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0.923</w:t>
            </w:r>
            <w:r w:rsidR="00AD1587">
              <w:rPr>
                <w:sz w:val="16"/>
                <w:szCs w:val="16"/>
              </w:rPr>
              <w:t>1</w:t>
            </w:r>
            <w:r w:rsidRPr="00B4486D">
              <w:rPr>
                <w:sz w:val="16"/>
                <w:szCs w:val="16"/>
                <w:vertAlign w:val="superscript"/>
              </w:rPr>
              <w:t>***</w:t>
            </w:r>
          </w:p>
          <w:p w14:paraId="11A3A905"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(0.2028)</w:t>
            </w:r>
          </w:p>
        </w:tc>
        <w:tc>
          <w:tcPr>
            <w:tcW w:w="475" w:type="pct"/>
            <w:vAlign w:val="center"/>
          </w:tcPr>
          <w:p w14:paraId="4E97ED6C" w14:textId="16ABF1BA" w:rsidR="00416544" w:rsidRPr="00B4486D" w:rsidRDefault="00416544" w:rsidP="00416544">
            <w:pPr>
              <w:spacing w:line="240" w:lineRule="auto"/>
              <w:ind w:firstLineChars="0" w:firstLine="0"/>
              <w:jc w:val="center"/>
              <w:rPr>
                <w:sz w:val="16"/>
                <w:szCs w:val="16"/>
              </w:rPr>
            </w:pPr>
            <w:r w:rsidRPr="00B4486D">
              <w:rPr>
                <w:rFonts w:hint="eastAsia"/>
                <w:sz w:val="16"/>
                <w:szCs w:val="16"/>
              </w:rPr>
              <w:t>3.537</w:t>
            </w:r>
            <w:r w:rsidR="00AD1587">
              <w:rPr>
                <w:sz w:val="16"/>
                <w:szCs w:val="16"/>
              </w:rPr>
              <w:t>8</w:t>
            </w:r>
            <w:r w:rsidRPr="00B4486D">
              <w:rPr>
                <w:rFonts w:hint="eastAsia"/>
                <w:sz w:val="16"/>
                <w:szCs w:val="16"/>
              </w:rPr>
              <w:t xml:space="preserve"> (4.5142)</w:t>
            </w:r>
          </w:p>
        </w:tc>
        <w:tc>
          <w:tcPr>
            <w:tcW w:w="554" w:type="pct"/>
            <w:vAlign w:val="center"/>
          </w:tcPr>
          <w:p w14:paraId="357C2273"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0.0003</w:t>
            </w:r>
            <w:r w:rsidRPr="00B4486D">
              <w:rPr>
                <w:sz w:val="16"/>
                <w:szCs w:val="16"/>
                <w:vertAlign w:val="superscript"/>
              </w:rPr>
              <w:t>***</w:t>
            </w:r>
          </w:p>
          <w:p w14:paraId="764263ED" w14:textId="2D48E102"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sidR="00C26C69">
              <w:rPr>
                <w:sz w:val="16"/>
                <w:szCs w:val="16"/>
              </w:rPr>
              <w:t>0.0001</w:t>
            </w:r>
            <w:r w:rsidRPr="00B4486D">
              <w:rPr>
                <w:rFonts w:hint="eastAsia"/>
                <w:sz w:val="16"/>
                <w:szCs w:val="16"/>
              </w:rPr>
              <w:t>)</w:t>
            </w:r>
          </w:p>
        </w:tc>
        <w:tc>
          <w:tcPr>
            <w:tcW w:w="476" w:type="pct"/>
            <w:vAlign w:val="center"/>
          </w:tcPr>
          <w:p w14:paraId="6C00663E"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-8942.46</w:t>
            </w:r>
          </w:p>
        </w:tc>
        <w:tc>
          <w:tcPr>
            <w:tcW w:w="474" w:type="pct"/>
            <w:vAlign w:val="center"/>
          </w:tcPr>
          <w:p w14:paraId="665F4F22"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-8907.8</w:t>
            </w:r>
          </w:p>
        </w:tc>
        <w:tc>
          <w:tcPr>
            <w:tcW w:w="485" w:type="pct"/>
            <w:vAlign w:val="center"/>
          </w:tcPr>
          <w:p w14:paraId="716BB9DE" w14:textId="59789129"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sidR="00AD1587">
              <w:rPr>
                <w:sz w:val="16"/>
                <w:szCs w:val="16"/>
              </w:rPr>
              <w:t>182</w:t>
            </w:r>
            <w:r w:rsidRPr="00B4486D">
              <w:rPr>
                <w:rFonts w:hint="eastAsia"/>
                <w:sz w:val="16"/>
                <w:szCs w:val="16"/>
              </w:rPr>
              <w:t>e-04</w:t>
            </w:r>
          </w:p>
        </w:tc>
      </w:tr>
      <w:tr w:rsidR="00C26C69" w14:paraId="2DA44FE8" w14:textId="77777777" w:rsidTr="000A3CF0">
        <w:trPr>
          <w:trHeight w:val="744"/>
          <w:jc w:val="center"/>
        </w:trPr>
        <w:tc>
          <w:tcPr>
            <w:tcW w:w="593" w:type="pct"/>
            <w:tcBorders>
              <w:bottom w:val="single" w:sz="12" w:space="0" w:color="auto"/>
            </w:tcBorders>
            <w:vAlign w:val="center"/>
          </w:tcPr>
          <w:p w14:paraId="74C79751" w14:textId="77777777" w:rsidR="00416544" w:rsidRPr="00B509A9" w:rsidRDefault="00416544" w:rsidP="00416544">
            <w:pPr>
              <w:spacing w:line="240" w:lineRule="auto"/>
              <w:ind w:firstLineChars="0" w:firstLine="0"/>
              <w:jc w:val="center"/>
              <w:rPr>
                <w:sz w:val="16"/>
                <w:szCs w:val="16"/>
              </w:rPr>
            </w:pPr>
            <w:r w:rsidRPr="00B509A9">
              <w:rPr>
                <w:rFonts w:hint="eastAsia"/>
                <w:sz w:val="16"/>
                <w:szCs w:val="16"/>
              </w:rPr>
              <w:lastRenderedPageBreak/>
              <w:t>X2</w:t>
            </w:r>
          </w:p>
        </w:tc>
        <w:tc>
          <w:tcPr>
            <w:tcW w:w="516" w:type="pct"/>
            <w:tcBorders>
              <w:bottom w:val="single" w:sz="12" w:space="0" w:color="auto"/>
            </w:tcBorders>
            <w:vAlign w:val="center"/>
          </w:tcPr>
          <w:p w14:paraId="2804F544"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-0.0025</w:t>
            </w:r>
            <w:r w:rsidRPr="00B4486D">
              <w:rPr>
                <w:sz w:val="16"/>
                <w:szCs w:val="16"/>
                <w:vertAlign w:val="superscript"/>
              </w:rPr>
              <w:t>***</w:t>
            </w:r>
          </w:p>
          <w:p w14:paraId="6141E87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(0.0003)</w:t>
            </w:r>
          </w:p>
        </w:tc>
        <w:tc>
          <w:tcPr>
            <w:tcW w:w="474" w:type="pct"/>
            <w:tcBorders>
              <w:bottom w:val="single" w:sz="12" w:space="0" w:color="auto"/>
            </w:tcBorders>
            <w:vAlign w:val="center"/>
          </w:tcPr>
          <w:p w14:paraId="388061B1"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0.5007</w:t>
            </w:r>
            <w:r w:rsidRPr="00B4486D">
              <w:rPr>
                <w:sz w:val="16"/>
                <w:szCs w:val="16"/>
                <w:vertAlign w:val="superscript"/>
              </w:rPr>
              <w:t>***</w:t>
            </w:r>
          </w:p>
          <w:p w14:paraId="3030A72E"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(0.0439)</w:t>
            </w:r>
          </w:p>
        </w:tc>
        <w:tc>
          <w:tcPr>
            <w:tcW w:w="477" w:type="pct"/>
            <w:tcBorders>
              <w:bottom w:val="single" w:sz="12" w:space="0" w:color="auto"/>
            </w:tcBorders>
            <w:vAlign w:val="center"/>
          </w:tcPr>
          <w:p w14:paraId="558A6E6B"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0.2871</w:t>
            </w:r>
            <w:r w:rsidRPr="00B4486D">
              <w:rPr>
                <w:sz w:val="16"/>
                <w:szCs w:val="16"/>
                <w:vertAlign w:val="superscript"/>
              </w:rPr>
              <w:t>***</w:t>
            </w:r>
          </w:p>
          <w:p w14:paraId="3ABAEF7D"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(0.0425)</w:t>
            </w:r>
          </w:p>
        </w:tc>
        <w:tc>
          <w:tcPr>
            <w:tcW w:w="475" w:type="pct"/>
            <w:tcBorders>
              <w:bottom w:val="single" w:sz="12" w:space="0" w:color="auto"/>
            </w:tcBorders>
            <w:vAlign w:val="center"/>
          </w:tcPr>
          <w:p w14:paraId="3082687A"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0.9933</w:t>
            </w:r>
            <w:r w:rsidRPr="00B4486D">
              <w:rPr>
                <w:sz w:val="16"/>
                <w:szCs w:val="16"/>
                <w:vertAlign w:val="superscript"/>
              </w:rPr>
              <w:t>***</w:t>
            </w:r>
          </w:p>
          <w:p w14:paraId="15EED089"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(0.1520)</w:t>
            </w:r>
          </w:p>
        </w:tc>
        <w:tc>
          <w:tcPr>
            <w:tcW w:w="475" w:type="pct"/>
            <w:tcBorders>
              <w:bottom w:val="single" w:sz="12" w:space="0" w:color="auto"/>
            </w:tcBorders>
            <w:vAlign w:val="center"/>
          </w:tcPr>
          <w:p w14:paraId="05C2E4CD"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41.566 (152.02)</w:t>
            </w:r>
          </w:p>
        </w:tc>
        <w:tc>
          <w:tcPr>
            <w:tcW w:w="554" w:type="pct"/>
            <w:tcBorders>
              <w:bottom w:val="single" w:sz="12" w:space="0" w:color="auto"/>
            </w:tcBorders>
            <w:vAlign w:val="center"/>
          </w:tcPr>
          <w:p w14:paraId="20D03576" w14:textId="77777777" w:rsidR="00416544" w:rsidRPr="00B4486D" w:rsidRDefault="00416544" w:rsidP="00416544">
            <w:pPr>
              <w:spacing w:line="240" w:lineRule="auto"/>
              <w:ind w:firstLineChars="0" w:firstLine="0"/>
              <w:jc w:val="center"/>
              <w:rPr>
                <w:sz w:val="16"/>
                <w:szCs w:val="16"/>
                <w:vertAlign w:val="superscript"/>
              </w:rPr>
            </w:pPr>
            <w:r w:rsidRPr="00B4486D">
              <w:rPr>
                <w:rFonts w:hint="eastAsia"/>
                <w:sz w:val="16"/>
                <w:szCs w:val="16"/>
              </w:rPr>
              <w:t>0.0002</w:t>
            </w:r>
            <w:r w:rsidRPr="00B4486D">
              <w:rPr>
                <w:sz w:val="16"/>
                <w:szCs w:val="16"/>
                <w:vertAlign w:val="superscript"/>
              </w:rPr>
              <w:t>***</w:t>
            </w:r>
          </w:p>
          <w:p w14:paraId="6E9FB10D" w14:textId="5317A80B" w:rsidR="00416544" w:rsidRPr="00B4486D" w:rsidRDefault="00416544" w:rsidP="00416544">
            <w:pPr>
              <w:spacing w:line="240" w:lineRule="auto"/>
              <w:ind w:firstLineChars="0" w:firstLine="0"/>
              <w:jc w:val="center"/>
              <w:rPr>
                <w:sz w:val="16"/>
                <w:szCs w:val="16"/>
              </w:rPr>
            </w:pPr>
            <w:r w:rsidRPr="00B4486D">
              <w:rPr>
                <w:rFonts w:hint="eastAsia"/>
                <w:sz w:val="16"/>
                <w:szCs w:val="16"/>
              </w:rPr>
              <w:t>(</w:t>
            </w:r>
            <w:r w:rsidR="00C26C69">
              <w:rPr>
                <w:sz w:val="16"/>
                <w:szCs w:val="16"/>
              </w:rPr>
              <w:t>0.0000</w:t>
            </w:r>
            <w:r w:rsidRPr="00B4486D">
              <w:rPr>
                <w:rFonts w:hint="eastAsia"/>
                <w:sz w:val="16"/>
                <w:szCs w:val="16"/>
              </w:rPr>
              <w:t>)</w:t>
            </w:r>
          </w:p>
        </w:tc>
        <w:tc>
          <w:tcPr>
            <w:tcW w:w="476" w:type="pct"/>
            <w:tcBorders>
              <w:bottom w:val="single" w:sz="12" w:space="0" w:color="auto"/>
            </w:tcBorders>
            <w:vAlign w:val="center"/>
          </w:tcPr>
          <w:p w14:paraId="7F5840F8"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-8947.6</w:t>
            </w:r>
          </w:p>
        </w:tc>
        <w:tc>
          <w:tcPr>
            <w:tcW w:w="474" w:type="pct"/>
            <w:tcBorders>
              <w:bottom w:val="single" w:sz="12" w:space="0" w:color="auto"/>
            </w:tcBorders>
            <w:vAlign w:val="center"/>
          </w:tcPr>
          <w:p w14:paraId="77C17708"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-8912.94</w:t>
            </w:r>
          </w:p>
        </w:tc>
        <w:tc>
          <w:tcPr>
            <w:tcW w:w="485" w:type="pct"/>
            <w:tcBorders>
              <w:bottom w:val="single" w:sz="12" w:space="0" w:color="auto"/>
            </w:tcBorders>
            <w:vAlign w:val="center"/>
          </w:tcPr>
          <w:p w14:paraId="5400615F" w14:textId="77777777" w:rsidR="00416544" w:rsidRPr="00B4486D" w:rsidRDefault="00416544" w:rsidP="00416544">
            <w:pPr>
              <w:spacing w:line="240" w:lineRule="auto"/>
              <w:ind w:firstLineChars="0" w:firstLine="0"/>
              <w:jc w:val="center"/>
              <w:rPr>
                <w:sz w:val="16"/>
                <w:szCs w:val="16"/>
              </w:rPr>
            </w:pPr>
            <w:r w:rsidRPr="00B4486D">
              <w:rPr>
                <w:rFonts w:hint="eastAsia"/>
                <w:sz w:val="16"/>
                <w:szCs w:val="16"/>
              </w:rPr>
              <w:t>8.</w:t>
            </w:r>
            <w:r>
              <w:rPr>
                <w:sz w:val="16"/>
                <w:szCs w:val="16"/>
              </w:rPr>
              <w:t>141</w:t>
            </w:r>
            <w:r w:rsidRPr="00B4486D">
              <w:rPr>
                <w:rFonts w:hint="eastAsia"/>
                <w:sz w:val="16"/>
                <w:szCs w:val="16"/>
              </w:rPr>
              <w:t>e-04</w:t>
            </w:r>
          </w:p>
        </w:tc>
      </w:tr>
    </w:tbl>
    <w:p w14:paraId="0A55FDAA" w14:textId="485699A5" w:rsidR="00BE67DB" w:rsidRPr="00F15DDD" w:rsidRDefault="00910E4B" w:rsidP="00F15DDD">
      <w:pPr>
        <w:adjustRightInd w:val="0"/>
        <w:snapToGrid w:val="0"/>
        <w:spacing w:after="100"/>
        <w:ind w:firstLine="300"/>
        <w:textAlignment w:val="center"/>
        <w:rPr>
          <w:sz w:val="15"/>
          <w:szCs w:val="15"/>
        </w:rPr>
      </w:pPr>
      <w:r w:rsidRPr="00F15DDD">
        <w:rPr>
          <w:rFonts w:hint="eastAsia"/>
          <w:sz w:val="15"/>
          <w:szCs w:val="15"/>
        </w:rPr>
        <w:t>注：</w:t>
      </w:r>
      <w:r w:rsidRPr="00F15DDD">
        <w:rPr>
          <w:rFonts w:hint="eastAsia"/>
          <w:sz w:val="15"/>
          <w:szCs w:val="15"/>
        </w:rPr>
        <w:t>***</w:t>
      </w:r>
      <w:r w:rsidRPr="00F15DDD">
        <w:rPr>
          <w:rFonts w:hint="eastAsia"/>
          <w:sz w:val="15"/>
          <w:szCs w:val="15"/>
        </w:rPr>
        <w:t>表示在</w:t>
      </w:r>
      <w:r w:rsidRPr="00F15DDD">
        <w:rPr>
          <w:rFonts w:hint="eastAsia"/>
          <w:sz w:val="15"/>
          <w:szCs w:val="15"/>
        </w:rPr>
        <w:t>1%</w:t>
      </w:r>
      <w:r w:rsidRPr="00F15DDD">
        <w:rPr>
          <w:rFonts w:hint="eastAsia"/>
          <w:sz w:val="15"/>
          <w:szCs w:val="15"/>
        </w:rPr>
        <w:t>置信区间显著性水平，括号里的数字为标准误差</w:t>
      </w:r>
    </w:p>
    <w:p w14:paraId="6BACEE39" w14:textId="6DC987B5" w:rsidR="002512D8" w:rsidRDefault="00424DD2" w:rsidP="00910E4B">
      <w:pPr>
        <w:adjustRightInd w:val="0"/>
        <w:snapToGrid w:val="0"/>
        <w:ind w:firstLine="420"/>
        <w:textAlignment w:val="center"/>
      </w:pPr>
      <w:r>
        <w:rPr>
          <w:rFonts w:hint="eastAsia"/>
        </w:rPr>
        <w:t>由表</w:t>
      </w:r>
      <w:r>
        <w:rPr>
          <w:rFonts w:hint="eastAsia"/>
        </w:rPr>
        <w:t>6</w:t>
      </w:r>
      <w:r>
        <w:rPr>
          <w:rFonts w:hint="eastAsia"/>
        </w:rPr>
        <w:t>可知</w:t>
      </w:r>
      <w:r>
        <w:rPr>
          <w:rFonts w:hint="eastAsia"/>
        </w:rPr>
        <w:t>ARCH</w:t>
      </w:r>
      <w:r>
        <w:rPr>
          <w:rFonts w:hint="eastAsia"/>
        </w:rPr>
        <w:t>项的参数估计值</w:t>
      </w:r>
      <w:r w:rsidR="00FE3930">
        <w:rPr>
          <w:noProof/>
        </w:rPr>
        <w:drawing>
          <wp:inline distT="0" distB="0" distL="0" distR="0" wp14:anchorId="3BB338D6" wp14:editId="2F410E2C">
            <wp:extent cx="147320" cy="134620"/>
            <wp:effectExtent l="0" t="0" r="5080" b="0"/>
            <wp:docPr id="36"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20" cy="134620"/>
                    </a:xfrm>
                    <a:prstGeom prst="rect">
                      <a:avLst/>
                    </a:prstGeom>
                    <a:noFill/>
                    <a:ln>
                      <a:noFill/>
                    </a:ln>
                  </pic:spPr>
                </pic:pic>
              </a:graphicData>
            </a:graphic>
          </wp:inline>
        </w:drawing>
      </w:r>
      <w:r>
        <w:rPr>
          <w:rFonts w:hint="eastAsia"/>
        </w:rPr>
        <w:t>和</w:t>
      </w:r>
      <w:r>
        <w:rPr>
          <w:rFonts w:hint="eastAsia"/>
        </w:rPr>
        <w:t>GARCH</w:t>
      </w:r>
      <w:r>
        <w:rPr>
          <w:rFonts w:hint="eastAsia"/>
        </w:rPr>
        <w:t>项的参数估计值</w:t>
      </w:r>
      <w:r w:rsidR="00FE3930">
        <w:rPr>
          <w:noProof/>
        </w:rPr>
        <w:drawing>
          <wp:inline distT="0" distB="0" distL="0" distR="0" wp14:anchorId="65983DE2" wp14:editId="1AD32C88">
            <wp:extent cx="147320" cy="212090"/>
            <wp:effectExtent l="0" t="0" r="5080" b="0"/>
            <wp:docPr id="35"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320" cy="212090"/>
                    </a:xfrm>
                    <a:prstGeom prst="rect">
                      <a:avLst/>
                    </a:prstGeom>
                    <a:noFill/>
                    <a:ln>
                      <a:noFill/>
                    </a:ln>
                  </pic:spPr>
                </pic:pic>
              </a:graphicData>
            </a:graphic>
          </wp:inline>
        </w:drawing>
      </w:r>
      <w:r>
        <w:rPr>
          <w:rFonts w:hint="eastAsia"/>
        </w:rPr>
        <w:t>都不为</w:t>
      </w:r>
      <w:r>
        <w:rPr>
          <w:rFonts w:hint="eastAsia"/>
        </w:rPr>
        <w:t>0</w:t>
      </w:r>
      <w:r>
        <w:rPr>
          <w:rFonts w:hint="eastAsia"/>
        </w:rPr>
        <w:t>，并且</w:t>
      </w:r>
      <w:r w:rsidR="00FE3930">
        <w:rPr>
          <w:noProof/>
        </w:rPr>
        <w:drawing>
          <wp:inline distT="0" distB="0" distL="0" distR="0" wp14:anchorId="1C8B06A2" wp14:editId="65F87631">
            <wp:extent cx="147320" cy="134620"/>
            <wp:effectExtent l="0" t="0" r="5080" b="0"/>
            <wp:docPr id="34"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20" cy="134620"/>
                    </a:xfrm>
                    <a:prstGeom prst="rect">
                      <a:avLst/>
                    </a:prstGeom>
                    <a:noFill/>
                    <a:ln>
                      <a:noFill/>
                    </a:ln>
                  </pic:spPr>
                </pic:pic>
              </a:graphicData>
            </a:graphic>
          </wp:inline>
        </w:drawing>
      </w:r>
      <w:r>
        <w:rPr>
          <w:rFonts w:hint="eastAsia"/>
        </w:rPr>
        <w:t>+</w:t>
      </w:r>
      <w:r w:rsidR="00FE3930">
        <w:rPr>
          <w:noProof/>
        </w:rPr>
        <w:drawing>
          <wp:inline distT="0" distB="0" distL="0" distR="0" wp14:anchorId="1C8A2E2D" wp14:editId="3664EFD3">
            <wp:extent cx="147320" cy="212090"/>
            <wp:effectExtent l="0" t="0" r="5080" b="0"/>
            <wp:docPr id="33"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320" cy="212090"/>
                    </a:xfrm>
                    <a:prstGeom prst="rect">
                      <a:avLst/>
                    </a:prstGeom>
                    <a:noFill/>
                    <a:ln>
                      <a:noFill/>
                    </a:ln>
                  </pic:spPr>
                </pic:pic>
              </a:graphicData>
            </a:graphic>
          </wp:inline>
        </w:drawing>
      </w:r>
      <w:r>
        <w:rPr>
          <w:rFonts w:hint="eastAsia"/>
        </w:rPr>
        <w:t>&lt;1</w:t>
      </w:r>
      <w:r>
        <w:rPr>
          <w:rFonts w:hint="eastAsia"/>
        </w:rPr>
        <w:t>并接近于</w:t>
      </w:r>
      <w:r>
        <w:rPr>
          <w:rFonts w:hint="eastAsia"/>
        </w:rPr>
        <w:t>1</w:t>
      </w:r>
      <w:r>
        <w:rPr>
          <w:rFonts w:hint="eastAsia"/>
        </w:rPr>
        <w:t>，说明在自变量的影响下，</w:t>
      </w:r>
      <w:r>
        <w:rPr>
          <w:rFonts w:hint="eastAsia"/>
        </w:rPr>
        <w:t>CNY-CNH</w:t>
      </w:r>
      <w:r>
        <w:rPr>
          <w:rFonts w:hint="eastAsia"/>
        </w:rPr>
        <w:t>价差波动趋于收敛并且模型具有稳定性。</w:t>
      </w:r>
      <w:r w:rsidR="00FE3930">
        <w:rPr>
          <w:noProof/>
        </w:rPr>
        <w:drawing>
          <wp:inline distT="0" distB="0" distL="0" distR="0" wp14:anchorId="7C1A2619" wp14:editId="2E6EFCDF">
            <wp:extent cx="134620" cy="182245"/>
            <wp:effectExtent l="0" t="0" r="0" b="8255"/>
            <wp:docPr id="22"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20" cy="182245"/>
                    </a:xfrm>
                    <a:prstGeom prst="rect">
                      <a:avLst/>
                    </a:prstGeom>
                    <a:noFill/>
                    <a:ln>
                      <a:noFill/>
                    </a:ln>
                  </pic:spPr>
                </pic:pic>
              </a:graphicData>
            </a:graphic>
          </wp:inline>
        </w:drawing>
      </w:r>
      <w:r>
        <w:rPr>
          <w:rFonts w:hint="eastAsia"/>
        </w:rPr>
        <w:t>表示各变量对</w:t>
      </w:r>
      <w:r>
        <w:rPr>
          <w:rFonts w:hint="eastAsia"/>
        </w:rPr>
        <w:t>CNY-CNH</w:t>
      </w:r>
      <w:r>
        <w:rPr>
          <w:rFonts w:hint="eastAsia"/>
        </w:rPr>
        <w:t>价差波动的长期影响程度。</w:t>
      </w:r>
      <w:r w:rsidR="00FE3930">
        <w:rPr>
          <w:noProof/>
        </w:rPr>
        <w:drawing>
          <wp:inline distT="0" distB="0" distL="0" distR="0" wp14:anchorId="12347E4D" wp14:editId="59FF0D97">
            <wp:extent cx="147320" cy="134620"/>
            <wp:effectExtent l="0" t="0" r="5080" b="0"/>
            <wp:docPr id="21"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20" cy="134620"/>
                    </a:xfrm>
                    <a:prstGeom prst="rect">
                      <a:avLst/>
                    </a:prstGeom>
                    <a:noFill/>
                    <a:ln>
                      <a:noFill/>
                    </a:ln>
                  </pic:spPr>
                </pic:pic>
              </a:graphicData>
            </a:graphic>
          </wp:inline>
        </w:drawing>
      </w:r>
      <w:r>
        <w:rPr>
          <w:rFonts w:hint="eastAsia"/>
        </w:rPr>
        <w:t>是</w:t>
      </w:r>
      <w:r>
        <w:rPr>
          <w:rFonts w:hint="eastAsia"/>
        </w:rPr>
        <w:t>Beta</w:t>
      </w:r>
      <w:r>
        <w:rPr>
          <w:rFonts w:hint="eastAsia"/>
        </w:rPr>
        <w:t>函数中变量权重衰减的最优估计系数。观察表</w:t>
      </w:r>
      <w:r>
        <w:rPr>
          <w:rFonts w:hint="eastAsia"/>
        </w:rPr>
        <w:t>6</w:t>
      </w:r>
      <w:r>
        <w:rPr>
          <w:rFonts w:hint="eastAsia"/>
        </w:rPr>
        <w:t>的研究结果可知，在固定窗口下</w:t>
      </w:r>
      <w:r w:rsidR="00FE3930">
        <w:rPr>
          <w:noProof/>
        </w:rPr>
        <w:drawing>
          <wp:inline distT="0" distB="0" distL="0" distR="0" wp14:anchorId="02DE1523" wp14:editId="70ED6F55">
            <wp:extent cx="134620" cy="182245"/>
            <wp:effectExtent l="0" t="0" r="0" b="8255"/>
            <wp:docPr id="13"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20" cy="182245"/>
                    </a:xfrm>
                    <a:prstGeom prst="rect">
                      <a:avLst/>
                    </a:prstGeom>
                    <a:noFill/>
                    <a:ln>
                      <a:noFill/>
                    </a:ln>
                  </pic:spPr>
                </pic:pic>
              </a:graphicData>
            </a:graphic>
          </wp:inline>
        </w:drawing>
      </w:r>
      <w:r>
        <w:rPr>
          <w:rFonts w:hint="eastAsia"/>
        </w:rPr>
        <w:t>值为</w:t>
      </w:r>
      <w:r>
        <w:t>0.</w:t>
      </w:r>
      <w:r w:rsidR="00FB1300">
        <w:t>0867</w:t>
      </w:r>
      <w:r>
        <w:rPr>
          <w:rFonts w:hint="eastAsia"/>
        </w:rPr>
        <w:t>，</w:t>
      </w:r>
      <w:r w:rsidR="00FE3930">
        <w:rPr>
          <w:noProof/>
        </w:rPr>
        <w:drawing>
          <wp:inline distT="0" distB="0" distL="0" distR="0" wp14:anchorId="1CDD85EE" wp14:editId="3DECA1A0">
            <wp:extent cx="147320" cy="134620"/>
            <wp:effectExtent l="0" t="0" r="5080" b="0"/>
            <wp:docPr id="12"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20" cy="134620"/>
                    </a:xfrm>
                    <a:prstGeom prst="rect">
                      <a:avLst/>
                    </a:prstGeom>
                    <a:noFill/>
                    <a:ln>
                      <a:noFill/>
                    </a:ln>
                  </pic:spPr>
                </pic:pic>
              </a:graphicData>
            </a:graphic>
          </wp:inline>
        </w:drawing>
      </w:r>
      <w:r>
        <w:rPr>
          <w:rFonts w:hint="eastAsia"/>
        </w:rPr>
        <w:t>值为</w:t>
      </w:r>
      <w:r>
        <w:t>49.9</w:t>
      </w:r>
      <w:r w:rsidR="00FB1300">
        <w:t>99</w:t>
      </w:r>
      <w:r>
        <w:rPr>
          <w:rFonts w:hint="eastAsia"/>
        </w:rPr>
        <w:t>；在滚动窗口下</w:t>
      </w:r>
      <w:r w:rsidR="00FE3930">
        <w:rPr>
          <w:noProof/>
        </w:rPr>
        <w:drawing>
          <wp:inline distT="0" distB="0" distL="0" distR="0" wp14:anchorId="7967C75D" wp14:editId="458BC8F4">
            <wp:extent cx="134620" cy="182245"/>
            <wp:effectExtent l="0" t="0" r="0" b="8255"/>
            <wp:docPr id="4"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20" cy="182245"/>
                    </a:xfrm>
                    <a:prstGeom prst="rect">
                      <a:avLst/>
                    </a:prstGeom>
                    <a:noFill/>
                    <a:ln>
                      <a:noFill/>
                    </a:ln>
                  </pic:spPr>
                </pic:pic>
              </a:graphicData>
            </a:graphic>
          </wp:inline>
        </w:drawing>
      </w:r>
      <w:r>
        <w:rPr>
          <w:rFonts w:hint="eastAsia"/>
        </w:rPr>
        <w:t>值为</w:t>
      </w:r>
      <w:r>
        <w:rPr>
          <w:rFonts w:hint="eastAsia"/>
        </w:rPr>
        <w:t>0.</w:t>
      </w:r>
      <w:r w:rsidR="00FB1300">
        <w:t>0994</w:t>
      </w:r>
      <w:r>
        <w:rPr>
          <w:rFonts w:hint="eastAsia"/>
        </w:rPr>
        <w:t>，</w:t>
      </w:r>
      <w:r w:rsidR="00FE3930">
        <w:rPr>
          <w:noProof/>
        </w:rPr>
        <w:drawing>
          <wp:inline distT="0" distB="0" distL="0" distR="0" wp14:anchorId="1D582BB4" wp14:editId="2970517B">
            <wp:extent cx="147320" cy="134620"/>
            <wp:effectExtent l="0" t="0" r="508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20" cy="134620"/>
                    </a:xfrm>
                    <a:prstGeom prst="rect">
                      <a:avLst/>
                    </a:prstGeom>
                    <a:noFill/>
                    <a:ln>
                      <a:noFill/>
                    </a:ln>
                  </pic:spPr>
                </pic:pic>
              </a:graphicData>
            </a:graphic>
          </wp:inline>
        </w:drawing>
      </w:r>
      <w:r>
        <w:rPr>
          <w:rFonts w:hint="eastAsia"/>
        </w:rPr>
        <w:t>值为</w:t>
      </w:r>
      <w:r>
        <w:t>49.9</w:t>
      </w:r>
      <w:r w:rsidR="00FB1300">
        <w:t>56</w:t>
      </w:r>
      <w:r>
        <w:rPr>
          <w:rFonts w:hint="eastAsia"/>
        </w:rPr>
        <w:t>，说明</w:t>
      </w:r>
      <w:r>
        <w:rPr>
          <w:rFonts w:hint="eastAsia"/>
        </w:rPr>
        <w:t>CNY-CNH</w:t>
      </w:r>
      <w:r>
        <w:rPr>
          <w:rFonts w:hint="eastAsia"/>
        </w:rPr>
        <w:t>价差自身的已实现波动越剧烈</w:t>
      </w:r>
      <w:r>
        <w:rPr>
          <w:rFonts w:hint="eastAsia"/>
        </w:rPr>
        <w:t>CNY-CNH</w:t>
      </w:r>
      <w:r>
        <w:rPr>
          <w:rFonts w:hint="eastAsia"/>
        </w:rPr>
        <w:t>价差长期波动越剧烈，并且长期波动衰减速度较快。</w:t>
      </w:r>
    </w:p>
    <w:p w14:paraId="68F0EAF2" w14:textId="0C1DD865" w:rsidR="002512D8" w:rsidRDefault="00177F03" w:rsidP="00177F03">
      <w:pPr>
        <w:ind w:firstLine="420"/>
      </w:pPr>
      <w:r>
        <w:rPr>
          <w:rFonts w:hint="eastAsia"/>
        </w:rPr>
        <w:t>对基本面变量而言，</w:t>
      </w:r>
      <w:r w:rsidR="00424DD2">
        <w:rPr>
          <w:rFonts w:hint="eastAsia"/>
        </w:rPr>
        <w:t>中美利差对</w:t>
      </w:r>
      <w:r w:rsidR="00424DD2">
        <w:rPr>
          <w:rFonts w:hint="eastAsia"/>
        </w:rPr>
        <w:t>CNY-CNH</w:t>
      </w:r>
      <w:r w:rsidR="00424DD2">
        <w:rPr>
          <w:rFonts w:hint="eastAsia"/>
        </w:rPr>
        <w:t>价差长期波动的影响为</w:t>
      </w:r>
      <w:r w:rsidR="00424DD2">
        <w:rPr>
          <w:rFonts w:hint="eastAsia"/>
        </w:rPr>
        <w:t>-1.</w:t>
      </w:r>
      <w:r w:rsidR="00962DE3">
        <w:t>6435</w:t>
      </w:r>
      <w:r w:rsidR="00424DD2">
        <w:rPr>
          <w:rFonts w:hint="eastAsia"/>
        </w:rPr>
        <w:t>，说明中美利差正向变化越剧烈，</w:t>
      </w:r>
      <w:r w:rsidR="00424DD2">
        <w:rPr>
          <w:rFonts w:hint="eastAsia"/>
        </w:rPr>
        <w:t>CNY-CNH</w:t>
      </w:r>
      <w:r w:rsidR="00424DD2">
        <w:rPr>
          <w:rFonts w:hint="eastAsia"/>
        </w:rPr>
        <w:t>价差长期波动越平缓。中美利差</w:t>
      </w:r>
      <w:r w:rsidR="00A310F1">
        <w:rPr>
          <w:rFonts w:hint="eastAsia"/>
        </w:rPr>
        <w:t>增大</w:t>
      </w:r>
      <w:r w:rsidR="00CE0644">
        <w:rPr>
          <w:rFonts w:hint="eastAsia"/>
        </w:rPr>
        <w:t>而</w:t>
      </w:r>
      <w:r w:rsidR="00424DD2">
        <w:rPr>
          <w:rFonts w:hint="eastAsia"/>
        </w:rPr>
        <w:t>CNY-CNH</w:t>
      </w:r>
      <w:r w:rsidR="00424DD2">
        <w:rPr>
          <w:rFonts w:hint="eastAsia"/>
        </w:rPr>
        <w:t>价差的长期波动</w:t>
      </w:r>
      <w:r w:rsidR="00A310F1">
        <w:rPr>
          <w:rFonts w:hint="eastAsia"/>
        </w:rPr>
        <w:t>降低</w:t>
      </w:r>
      <w:r w:rsidR="00424DD2">
        <w:rPr>
          <w:rFonts w:hint="eastAsia"/>
        </w:rPr>
        <w:t>，可能的原因是从长期来看，中国央行结构性货币政策操作是在货币总量稳健中性的同时，优化流动性的投向和结构，有针对性地解决经济运行中的突出问题。比如当中美利差增大时，中国央行可能重启逆周期因子稳定人民币汇率，这导致即使投资者看见沽空套利机会也不敢轻举妄动，宁愿选择按兵不动。也就是说央行会对外汇市场做出适当的干预调控汇率，而投资者也不轻举妄动，做出买入或卖出的决策。人民币贬值预期对</w:t>
      </w:r>
      <w:r w:rsidR="00424DD2">
        <w:rPr>
          <w:rFonts w:hint="eastAsia"/>
        </w:rPr>
        <w:t>CNY-CNH</w:t>
      </w:r>
      <w:r w:rsidR="00424DD2">
        <w:rPr>
          <w:rFonts w:hint="eastAsia"/>
        </w:rPr>
        <w:t>价差长期波动的影响为</w:t>
      </w:r>
      <w:r w:rsidR="00424DD2">
        <w:rPr>
          <w:rFonts w:hint="eastAsia"/>
        </w:rPr>
        <w:t>2.7</w:t>
      </w:r>
      <w:r w:rsidR="00962DE3">
        <w:t>504</w:t>
      </w:r>
      <w:r w:rsidR="00424DD2">
        <w:rPr>
          <w:rFonts w:hint="eastAsia"/>
        </w:rPr>
        <w:t>，表明人民币贬值预期正向变化越剧烈，</w:t>
      </w:r>
      <w:r w:rsidR="00424DD2">
        <w:rPr>
          <w:rFonts w:hint="eastAsia"/>
        </w:rPr>
        <w:t>CNY-CNH</w:t>
      </w:r>
      <w:r w:rsidR="00424DD2">
        <w:rPr>
          <w:rFonts w:hint="eastAsia"/>
        </w:rPr>
        <w:t>价差长期波动越剧烈。具体来说就是人民币贬值预期越高，与在岸人民币汇率相比离岸人民币汇率贬值幅度越大，</w:t>
      </w:r>
      <w:r w:rsidR="00424DD2">
        <w:rPr>
          <w:rFonts w:hint="eastAsia"/>
        </w:rPr>
        <w:t>CNY-CNH</w:t>
      </w:r>
      <w:r w:rsidR="00424DD2">
        <w:rPr>
          <w:rFonts w:hint="eastAsia"/>
        </w:rPr>
        <w:t>价差长期波动越剧烈。</w:t>
      </w:r>
    </w:p>
    <w:p w14:paraId="250484AC" w14:textId="77777777" w:rsidR="00A310F1" w:rsidRDefault="00177F03" w:rsidP="00177F03">
      <w:pPr>
        <w:ind w:firstLine="420"/>
      </w:pPr>
      <w:r>
        <w:rPr>
          <w:rFonts w:hint="eastAsia"/>
        </w:rPr>
        <w:t>对</w:t>
      </w:r>
      <w:r w:rsidR="00A310F1">
        <w:rPr>
          <w:rFonts w:hint="eastAsia"/>
        </w:rPr>
        <w:t>政治经济</w:t>
      </w:r>
      <w:r>
        <w:rPr>
          <w:rFonts w:hint="eastAsia"/>
        </w:rPr>
        <w:t>环境变量而言，</w:t>
      </w:r>
      <w:r w:rsidR="00424DD2">
        <w:rPr>
          <w:rFonts w:hint="eastAsia"/>
        </w:rPr>
        <w:t>经济政策不确定性对</w:t>
      </w:r>
      <w:r w:rsidR="00424DD2">
        <w:rPr>
          <w:rFonts w:hint="eastAsia"/>
        </w:rPr>
        <w:t>CNY-CNH</w:t>
      </w:r>
      <w:r w:rsidR="00424DD2">
        <w:rPr>
          <w:rFonts w:hint="eastAsia"/>
        </w:rPr>
        <w:t>价差长期波动的影响为</w:t>
      </w:r>
      <w:r w:rsidR="00424DD2">
        <w:rPr>
          <w:rFonts w:hint="eastAsia"/>
        </w:rPr>
        <w:t>0.0993</w:t>
      </w:r>
      <w:r w:rsidR="00424DD2">
        <w:rPr>
          <w:rFonts w:hint="eastAsia"/>
        </w:rPr>
        <w:t>，表明经济政策不确定性正向变化越剧烈，</w:t>
      </w:r>
      <w:r w:rsidR="00424DD2">
        <w:rPr>
          <w:rFonts w:hint="eastAsia"/>
        </w:rPr>
        <w:t>CNY-CNH</w:t>
      </w:r>
      <w:r w:rsidR="00424DD2">
        <w:rPr>
          <w:rFonts w:hint="eastAsia"/>
        </w:rPr>
        <w:t>价差长期波动越剧烈。经济政策不确定性指数选取中国经济政策不确定性指数，因此该指数越高反映中国经济政策不确定性越高，投资者可能放弃投资人民币资产转而投资其他较为稳健的资产，从而人民币贬值压力增大，</w:t>
      </w:r>
      <w:r w:rsidR="00424DD2">
        <w:rPr>
          <w:rFonts w:hint="eastAsia"/>
        </w:rPr>
        <w:t>CNY-CNH</w:t>
      </w:r>
      <w:r w:rsidR="00424DD2">
        <w:rPr>
          <w:rFonts w:hint="eastAsia"/>
        </w:rPr>
        <w:t>价差波动幅度增大。地缘政治风险对</w:t>
      </w:r>
      <w:r w:rsidR="00424DD2">
        <w:rPr>
          <w:rFonts w:hint="eastAsia"/>
        </w:rPr>
        <w:t>CNY-CNH</w:t>
      </w:r>
      <w:r w:rsidR="00424DD2">
        <w:rPr>
          <w:rFonts w:hint="eastAsia"/>
        </w:rPr>
        <w:t>价差长期波动的影响为</w:t>
      </w:r>
      <w:r w:rsidR="00424DD2">
        <w:rPr>
          <w:rFonts w:hint="eastAsia"/>
        </w:rPr>
        <w:t>0.0</w:t>
      </w:r>
      <w:r w:rsidR="00962DE3">
        <w:t>159</w:t>
      </w:r>
      <w:r w:rsidR="00424DD2">
        <w:rPr>
          <w:rFonts w:hint="eastAsia"/>
        </w:rPr>
        <w:t>，表明地缘政治风险正向变化越剧烈，</w:t>
      </w:r>
      <w:r w:rsidR="00424DD2">
        <w:rPr>
          <w:rFonts w:hint="eastAsia"/>
        </w:rPr>
        <w:t>CNY-CNH</w:t>
      </w:r>
      <w:r w:rsidR="00424DD2">
        <w:rPr>
          <w:rFonts w:hint="eastAsia"/>
        </w:rPr>
        <w:t>价差长期波动越剧烈。地缘政治风险间接反映了人们对重大事件的关注程度，地缘政治风险指数越高说明投资者对重大事件关注程度越高，此时投资者出于稳健考虑，更愿意投资黄金等较稳健的资产，从而人民币贬值压力增大，</w:t>
      </w:r>
      <w:r w:rsidR="00424DD2">
        <w:rPr>
          <w:rFonts w:hint="eastAsia"/>
        </w:rPr>
        <w:t>CNY-CNH</w:t>
      </w:r>
      <w:r w:rsidR="00424DD2">
        <w:rPr>
          <w:rFonts w:hint="eastAsia"/>
        </w:rPr>
        <w:t>价差波动增大。</w:t>
      </w:r>
    </w:p>
    <w:p w14:paraId="37C789A2" w14:textId="2E1C8163" w:rsidR="002512D8" w:rsidRDefault="00A310F1" w:rsidP="00177F03">
      <w:pPr>
        <w:ind w:firstLine="420"/>
      </w:pPr>
      <w:r>
        <w:rPr>
          <w:rFonts w:hint="eastAsia"/>
        </w:rPr>
        <w:t>对投资者关注度而言，</w:t>
      </w:r>
      <w:r w:rsidR="00424DD2">
        <w:rPr>
          <w:rFonts w:hint="eastAsia"/>
        </w:rPr>
        <w:t>国内投资者关注度对</w:t>
      </w:r>
      <w:r w:rsidR="00424DD2">
        <w:rPr>
          <w:rFonts w:hint="eastAsia"/>
        </w:rPr>
        <w:t>CNY-CNH</w:t>
      </w:r>
      <w:r w:rsidR="00424DD2">
        <w:rPr>
          <w:rFonts w:hint="eastAsia"/>
        </w:rPr>
        <w:t>价差长期波动的影响为</w:t>
      </w:r>
      <w:r w:rsidR="00424DD2">
        <w:rPr>
          <w:rFonts w:hint="eastAsia"/>
        </w:rPr>
        <w:t>0.0</w:t>
      </w:r>
      <w:r w:rsidR="00962DE3">
        <w:t>162</w:t>
      </w:r>
      <w:r w:rsidR="00424DD2">
        <w:rPr>
          <w:rFonts w:hint="eastAsia"/>
        </w:rPr>
        <w:t>，表明国内投资者关注度正向变化越剧烈，</w:t>
      </w:r>
      <w:r w:rsidR="00424DD2">
        <w:rPr>
          <w:rFonts w:hint="eastAsia"/>
        </w:rPr>
        <w:t>CNY-CNH</w:t>
      </w:r>
      <w:r w:rsidR="00424DD2">
        <w:rPr>
          <w:rFonts w:hint="eastAsia"/>
        </w:rPr>
        <w:t>价差长期波动越剧烈。国内投资者关注</w:t>
      </w:r>
      <w:r w:rsidR="00424DD2">
        <w:rPr>
          <w:rFonts w:hint="eastAsia"/>
        </w:rPr>
        <w:lastRenderedPageBreak/>
        <w:t>度由百度指数</w:t>
      </w:r>
      <w:r w:rsidR="00424DD2">
        <w:rPr>
          <w:rFonts w:hint="eastAsia"/>
        </w:rPr>
        <w:t>CNH</w:t>
      </w:r>
      <w:r w:rsidR="00424DD2">
        <w:rPr>
          <w:rFonts w:hint="eastAsia"/>
        </w:rPr>
        <w:t>构成，该指数越高说明国内投资者对离岸人民币汇率的关注程度越高，又由于在离岸人民币市场交易受管制少于在岸人民币市场，因此基于百度指数</w:t>
      </w:r>
      <w:r w:rsidR="00424DD2">
        <w:rPr>
          <w:rFonts w:hint="eastAsia"/>
        </w:rPr>
        <w:t>CNH</w:t>
      </w:r>
      <w:r w:rsidR="00424DD2">
        <w:rPr>
          <w:rFonts w:hint="eastAsia"/>
        </w:rPr>
        <w:t>的国内投资者关注度越高，</w:t>
      </w:r>
      <w:r w:rsidR="00424DD2">
        <w:rPr>
          <w:rFonts w:hint="eastAsia"/>
        </w:rPr>
        <w:t>CNY-CNH</w:t>
      </w:r>
      <w:r w:rsidR="00424DD2">
        <w:rPr>
          <w:rFonts w:hint="eastAsia"/>
        </w:rPr>
        <w:t>价差波动幅度越大。国际投资者关注度对</w:t>
      </w:r>
      <w:r w:rsidR="00424DD2">
        <w:rPr>
          <w:rFonts w:hint="eastAsia"/>
        </w:rPr>
        <w:t>CNY-CNH</w:t>
      </w:r>
      <w:r w:rsidR="00424DD2">
        <w:rPr>
          <w:rFonts w:hint="eastAsia"/>
        </w:rPr>
        <w:t>价差长期波动的影响为</w:t>
      </w:r>
      <w:r w:rsidR="00424DD2">
        <w:rPr>
          <w:rFonts w:hint="eastAsia"/>
        </w:rPr>
        <w:t>0.1913</w:t>
      </w:r>
      <w:r w:rsidR="00424DD2">
        <w:rPr>
          <w:rFonts w:hint="eastAsia"/>
        </w:rPr>
        <w:t>，表明国际投资者关注度正向变化越剧烈，</w:t>
      </w:r>
      <w:r w:rsidR="00424DD2">
        <w:rPr>
          <w:rFonts w:hint="eastAsia"/>
        </w:rPr>
        <w:t>CNY-CNH</w:t>
      </w:r>
      <w:r w:rsidR="00424DD2">
        <w:rPr>
          <w:rFonts w:hint="eastAsia"/>
        </w:rPr>
        <w:t>价差长期波动越剧烈。国际投资者关注度由谷歌趋势</w:t>
      </w:r>
      <w:r w:rsidR="00424DD2">
        <w:rPr>
          <w:rFonts w:hint="eastAsia"/>
        </w:rPr>
        <w:t>CNH</w:t>
      </w:r>
      <w:r w:rsidR="00424DD2">
        <w:rPr>
          <w:rFonts w:hint="eastAsia"/>
        </w:rPr>
        <w:t>构成，该指数越高说明国际投资者对离岸人民币汇率的关注程度越高，</w:t>
      </w:r>
      <w:r w:rsidR="00424DD2">
        <w:rPr>
          <w:rFonts w:hint="eastAsia"/>
        </w:rPr>
        <w:t>CNY-CNH</w:t>
      </w:r>
      <w:r w:rsidR="00424DD2">
        <w:rPr>
          <w:rFonts w:hint="eastAsia"/>
        </w:rPr>
        <w:t>价差波动幅度越大。</w:t>
      </w:r>
    </w:p>
    <w:p w14:paraId="5A4E2EDC" w14:textId="747D0363" w:rsidR="00C26C69" w:rsidRPr="00C26C69" w:rsidRDefault="00AD7C28" w:rsidP="00C26C69">
      <w:pPr>
        <w:ind w:firstLine="420"/>
        <w:textAlignment w:val="center"/>
        <w:rPr>
          <w:bCs/>
        </w:rPr>
      </w:pPr>
      <w:r w:rsidRPr="00F02D2A">
        <w:rPr>
          <w:noProof/>
        </w:rPr>
        <w:drawing>
          <wp:anchor distT="0" distB="0" distL="114300" distR="114300" simplePos="0" relativeHeight="251715584" behindDoc="0" locked="0" layoutInCell="1" allowOverlap="1" wp14:anchorId="2A931A99" wp14:editId="426F3DA8">
            <wp:simplePos x="0" y="0"/>
            <wp:positionH relativeFrom="column">
              <wp:posOffset>89627</wp:posOffset>
            </wp:positionH>
            <wp:positionV relativeFrom="paragraph">
              <wp:posOffset>2447290</wp:posOffset>
            </wp:positionV>
            <wp:extent cx="2682000" cy="2008800"/>
            <wp:effectExtent l="0" t="0" r="0" b="0"/>
            <wp:wrapSquare wrapText="bothSides"/>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69" w:rsidRPr="00F02D2A">
        <w:rPr>
          <w:rFonts w:hint="eastAsia"/>
          <w:bCs/>
          <w:noProof/>
        </w:rPr>
        <w:drawing>
          <wp:anchor distT="0" distB="0" distL="114300" distR="114300" simplePos="0" relativeHeight="251717632" behindDoc="0" locked="0" layoutInCell="1" allowOverlap="1" wp14:anchorId="065BA7D6" wp14:editId="5325107B">
            <wp:simplePos x="0" y="0"/>
            <wp:positionH relativeFrom="column">
              <wp:posOffset>2614930</wp:posOffset>
            </wp:positionH>
            <wp:positionV relativeFrom="paragraph">
              <wp:posOffset>2445352</wp:posOffset>
            </wp:positionV>
            <wp:extent cx="2682000" cy="2008800"/>
            <wp:effectExtent l="0" t="0" r="0" b="0"/>
            <wp:wrapSquare wrapText="bothSides"/>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03">
        <w:rPr>
          <w:rFonts w:hint="eastAsia"/>
        </w:rPr>
        <w:t>对政策变量而言，</w:t>
      </w:r>
      <w:r w:rsidR="00424DD2">
        <w:rPr>
          <w:rFonts w:hint="eastAsia"/>
        </w:rPr>
        <w:t>人民币兑美元汇率中间价机制改革对</w:t>
      </w:r>
      <w:r w:rsidR="00424DD2">
        <w:rPr>
          <w:rFonts w:hint="eastAsia"/>
        </w:rPr>
        <w:t>CNY-CNH</w:t>
      </w:r>
      <w:r w:rsidR="00424DD2">
        <w:rPr>
          <w:rFonts w:hint="eastAsia"/>
        </w:rPr>
        <w:t>价差长期波动的影响为</w:t>
      </w:r>
      <w:r w:rsidR="00424DD2">
        <w:rPr>
          <w:rFonts w:hint="eastAsia"/>
        </w:rPr>
        <w:t>0.923</w:t>
      </w:r>
      <w:r w:rsidR="00376224">
        <w:t>1</w:t>
      </w:r>
      <w:r w:rsidR="00424DD2">
        <w:rPr>
          <w:rFonts w:hint="eastAsia"/>
        </w:rPr>
        <w:t>，表明随着人民币兑美元汇率中间价机制改革进程的逐步深入，</w:t>
      </w:r>
      <w:r w:rsidR="00424DD2">
        <w:rPr>
          <w:rFonts w:hint="eastAsia"/>
        </w:rPr>
        <w:t>CNY-CNH</w:t>
      </w:r>
      <w:r w:rsidR="00424DD2">
        <w:rPr>
          <w:rFonts w:hint="eastAsia"/>
        </w:rPr>
        <w:t>价差长期波动越剧烈。</w:t>
      </w:r>
      <w:r w:rsidR="00424DD2">
        <w:rPr>
          <w:rFonts w:hint="eastAsia"/>
          <w:bCs/>
        </w:rPr>
        <w:t>投资者通过参考政策的实施来推测人民币兑美元汇率的升贬值，从而引起</w:t>
      </w:r>
      <w:r w:rsidR="00424DD2">
        <w:rPr>
          <w:rFonts w:hint="eastAsia"/>
          <w:bCs/>
        </w:rPr>
        <w:t>CNY-CNH</w:t>
      </w:r>
      <w:r w:rsidR="00424DD2">
        <w:rPr>
          <w:rFonts w:hint="eastAsia"/>
          <w:bCs/>
        </w:rPr>
        <w:t>价差波动剧烈。</w:t>
      </w:r>
      <w:r w:rsidR="00910E4B">
        <w:rPr>
          <w:rFonts w:hint="eastAsia"/>
        </w:rPr>
        <w:t>人民币国际化进程对</w:t>
      </w:r>
      <w:r w:rsidR="00910E4B">
        <w:rPr>
          <w:rFonts w:hint="eastAsia"/>
        </w:rPr>
        <w:t>CNY-CNH</w:t>
      </w:r>
      <w:r w:rsidR="00910E4B">
        <w:rPr>
          <w:rFonts w:hint="eastAsia"/>
        </w:rPr>
        <w:t>价差长期波动的影响为</w:t>
      </w:r>
      <w:r w:rsidR="00910E4B">
        <w:rPr>
          <w:rFonts w:hint="eastAsia"/>
        </w:rPr>
        <w:t>0.9933</w:t>
      </w:r>
      <w:r w:rsidR="00910E4B">
        <w:rPr>
          <w:rFonts w:hint="eastAsia"/>
        </w:rPr>
        <w:t>，表明随着人民币国际化进程的逐步推进，</w:t>
      </w:r>
      <w:r w:rsidR="00910E4B">
        <w:rPr>
          <w:rFonts w:hint="eastAsia"/>
        </w:rPr>
        <w:t>CNY-CNH</w:t>
      </w:r>
      <w:r w:rsidR="00910E4B">
        <w:rPr>
          <w:rFonts w:hint="eastAsia"/>
        </w:rPr>
        <w:t>价差长期波动越剧烈。从长远来看人民币国际化措施有利于提高人民币汇率并维持汇率的稳定。投资者基于对人民币汇率升值的预期从而投资人民币资产，由于离岸人民币受管制较少，其升值幅度高于在岸人民币，因此随着人民币国际化进程深入，</w:t>
      </w:r>
      <w:r w:rsidR="00910E4B">
        <w:rPr>
          <w:rFonts w:hint="eastAsia"/>
        </w:rPr>
        <w:t>CNY-CNH</w:t>
      </w:r>
      <w:r w:rsidR="00910E4B">
        <w:rPr>
          <w:rFonts w:hint="eastAsia"/>
        </w:rPr>
        <w:t>价差长期波动增加。</w:t>
      </w:r>
    </w:p>
    <w:p w14:paraId="1F6A0026" w14:textId="1024513C" w:rsidR="00C26C69" w:rsidRDefault="00C26C69" w:rsidP="007E4102">
      <w:pPr>
        <w:spacing w:line="240" w:lineRule="auto"/>
        <w:ind w:firstLineChars="0" w:firstLine="0"/>
        <w:jc w:val="center"/>
      </w:pPr>
    </w:p>
    <w:p w14:paraId="55489ED4" w14:textId="7EC7643B" w:rsidR="00BE67DB" w:rsidRDefault="00424DD2" w:rsidP="00AD7C28">
      <w:pPr>
        <w:adjustRightInd w:val="0"/>
        <w:snapToGrid w:val="0"/>
        <w:ind w:firstLine="420"/>
        <w:jc w:val="center"/>
      </w:pPr>
      <w:r>
        <w:rPr>
          <w:rFonts w:hint="eastAsia"/>
        </w:rPr>
        <w:t>图</w:t>
      </w:r>
      <w:r>
        <w:rPr>
          <w:rFonts w:hint="eastAsia"/>
        </w:rPr>
        <w:t>2</w:t>
      </w:r>
      <w:r w:rsidR="000A3CF0">
        <w:t xml:space="preserve"> </w:t>
      </w:r>
      <w:r>
        <w:rPr>
          <w:rFonts w:hint="eastAsia"/>
        </w:rPr>
        <w:t xml:space="preserve"> CNY-CNH</w:t>
      </w:r>
      <w:r>
        <w:rPr>
          <w:rFonts w:hint="eastAsia"/>
        </w:rPr>
        <w:t>价差波动率分解（固定（左）</w:t>
      </w:r>
      <w:r>
        <w:rPr>
          <w:rFonts w:hint="eastAsia"/>
        </w:rPr>
        <w:t>/</w:t>
      </w:r>
      <w:r>
        <w:rPr>
          <w:rFonts w:hint="eastAsia"/>
        </w:rPr>
        <w:t>滚动（右））</w:t>
      </w:r>
    </w:p>
    <w:p w14:paraId="5696240A" w14:textId="77777777" w:rsidR="00993199" w:rsidRDefault="00283266" w:rsidP="00993199">
      <w:pPr>
        <w:ind w:firstLine="420"/>
        <w:textAlignment w:val="center"/>
      </w:pPr>
      <w:r w:rsidRPr="00283266">
        <w:rPr>
          <w:rFonts w:hint="eastAsia"/>
        </w:rPr>
        <w:t>观察图</w:t>
      </w:r>
      <w:r w:rsidRPr="00283266">
        <w:rPr>
          <w:rFonts w:hint="eastAsia"/>
        </w:rPr>
        <w:t>2</w:t>
      </w:r>
      <w:r w:rsidRPr="00283266">
        <w:rPr>
          <w:rFonts w:hint="eastAsia"/>
        </w:rPr>
        <w:t>中可知虚线为</w:t>
      </w:r>
      <w:r w:rsidRPr="00283266">
        <w:rPr>
          <w:rFonts w:hint="eastAsia"/>
        </w:rPr>
        <w:t>CNY-CNH</w:t>
      </w:r>
      <w:r w:rsidRPr="00283266">
        <w:rPr>
          <w:rFonts w:hint="eastAsia"/>
        </w:rPr>
        <w:t>价差条件波动率，实线为</w:t>
      </w:r>
      <w:r w:rsidRPr="00283266">
        <w:rPr>
          <w:rFonts w:hint="eastAsia"/>
        </w:rPr>
        <w:t>CNY-CNH</w:t>
      </w:r>
      <w:r w:rsidRPr="00283266">
        <w:rPr>
          <w:rFonts w:hint="eastAsia"/>
        </w:rPr>
        <w:t>价差长期波动率。观察图</w:t>
      </w:r>
      <w:r w:rsidRPr="00283266">
        <w:rPr>
          <w:rFonts w:hint="eastAsia"/>
        </w:rPr>
        <w:t>2</w:t>
      </w:r>
      <w:r w:rsidRPr="00283266">
        <w:rPr>
          <w:rFonts w:hint="eastAsia"/>
        </w:rPr>
        <w:t>的左图和右图可知固定窗口和滚动窗口的结果相似，</w:t>
      </w:r>
      <w:r w:rsidRPr="00283266">
        <w:rPr>
          <w:rFonts w:hint="eastAsia"/>
        </w:rPr>
        <w:t>CNY-CNH</w:t>
      </w:r>
      <w:r w:rsidRPr="00283266">
        <w:rPr>
          <w:rFonts w:hint="eastAsia"/>
        </w:rPr>
        <w:t>价差条件波动率和长期波动率在</w:t>
      </w:r>
      <w:r w:rsidRPr="00283266">
        <w:rPr>
          <w:rFonts w:hint="eastAsia"/>
        </w:rPr>
        <w:t>2015</w:t>
      </w:r>
      <w:r w:rsidRPr="00283266">
        <w:rPr>
          <w:rFonts w:hint="eastAsia"/>
        </w:rPr>
        <w:t>年中下旬至</w:t>
      </w:r>
      <w:r w:rsidRPr="00283266">
        <w:rPr>
          <w:rFonts w:hint="eastAsia"/>
        </w:rPr>
        <w:t>2016</w:t>
      </w:r>
      <w:r w:rsidRPr="00283266">
        <w:rPr>
          <w:rFonts w:hint="eastAsia"/>
        </w:rPr>
        <w:t>年中下旬之间均增大。原因可能是</w:t>
      </w:r>
      <w:r w:rsidRPr="00283266">
        <w:rPr>
          <w:rFonts w:hint="eastAsia"/>
        </w:rPr>
        <w:t>2015</w:t>
      </w:r>
      <w:r w:rsidRPr="00283266">
        <w:rPr>
          <w:rFonts w:hint="eastAsia"/>
        </w:rPr>
        <w:t>年</w:t>
      </w:r>
      <w:r w:rsidRPr="00283266">
        <w:rPr>
          <w:rFonts w:hint="eastAsia"/>
        </w:rPr>
        <w:t>8</w:t>
      </w:r>
      <w:r w:rsidRPr="00283266">
        <w:rPr>
          <w:rFonts w:hint="eastAsia"/>
        </w:rPr>
        <w:t>月</w:t>
      </w:r>
      <w:r w:rsidRPr="00283266">
        <w:rPr>
          <w:rFonts w:hint="eastAsia"/>
        </w:rPr>
        <w:t>11</w:t>
      </w:r>
      <w:r w:rsidRPr="00283266">
        <w:rPr>
          <w:rFonts w:hint="eastAsia"/>
        </w:rPr>
        <w:t>日央行调整人民币兑美元汇率中间价报价机制，从而引起</w:t>
      </w:r>
      <w:r w:rsidRPr="00283266">
        <w:rPr>
          <w:rFonts w:hint="eastAsia"/>
        </w:rPr>
        <w:t>CNY-CNH</w:t>
      </w:r>
      <w:r w:rsidRPr="00283266">
        <w:rPr>
          <w:rFonts w:hint="eastAsia"/>
        </w:rPr>
        <w:t>价差波动增大。</w:t>
      </w:r>
    </w:p>
    <w:p w14:paraId="072A5C57" w14:textId="1CC7961D" w:rsidR="00212CA5" w:rsidRDefault="00AD7C28" w:rsidP="00AD7C28">
      <w:pPr>
        <w:adjustRightInd w:val="0"/>
        <w:snapToGrid w:val="0"/>
        <w:spacing w:line="240" w:lineRule="auto"/>
        <w:ind w:firstLineChars="0" w:firstLine="0"/>
        <w:textAlignment w:val="center"/>
      </w:pPr>
      <w:r w:rsidRPr="00A715AE">
        <w:rPr>
          <w:noProof/>
        </w:rPr>
        <w:lastRenderedPageBreak/>
        <w:drawing>
          <wp:anchor distT="0" distB="0" distL="114300" distR="114300" simplePos="0" relativeHeight="251739136" behindDoc="0" locked="0" layoutInCell="1" allowOverlap="1" wp14:anchorId="1E897F2A" wp14:editId="33750B23">
            <wp:simplePos x="0" y="0"/>
            <wp:positionH relativeFrom="column">
              <wp:posOffset>2564897</wp:posOffset>
            </wp:positionH>
            <wp:positionV relativeFrom="paragraph">
              <wp:posOffset>8292</wp:posOffset>
            </wp:positionV>
            <wp:extent cx="2682240" cy="2010410"/>
            <wp:effectExtent l="0" t="0" r="381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224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5AE">
        <w:rPr>
          <w:rFonts w:hint="eastAsia"/>
          <w:noProof/>
        </w:rPr>
        <w:drawing>
          <wp:anchor distT="0" distB="0" distL="114300" distR="114300" simplePos="0" relativeHeight="251738112" behindDoc="0" locked="0" layoutInCell="1" allowOverlap="1" wp14:anchorId="6D736180" wp14:editId="18CCB7FE">
            <wp:simplePos x="0" y="0"/>
            <wp:positionH relativeFrom="column">
              <wp:posOffset>-57785</wp:posOffset>
            </wp:positionH>
            <wp:positionV relativeFrom="paragraph">
              <wp:posOffset>8813</wp:posOffset>
            </wp:positionV>
            <wp:extent cx="2682000" cy="2008800"/>
            <wp:effectExtent l="0" t="0" r="0" b="0"/>
            <wp:wrapSquare wrapText="bothSides"/>
            <wp:docPr id="6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6A777" w14:textId="639E9704" w:rsidR="005620F6" w:rsidRDefault="00424DD2" w:rsidP="00993199">
      <w:pPr>
        <w:ind w:firstLine="420"/>
        <w:jc w:val="center"/>
      </w:pPr>
      <w:r>
        <w:rPr>
          <w:rFonts w:hint="eastAsia"/>
        </w:rPr>
        <w:t>图</w:t>
      </w:r>
      <w:r>
        <w:rPr>
          <w:rFonts w:hint="eastAsia"/>
        </w:rPr>
        <w:t xml:space="preserve">3 </w:t>
      </w:r>
      <w:r>
        <w:rPr>
          <w:rFonts w:hint="eastAsia"/>
        </w:rPr>
        <w:t>中美利差</w:t>
      </w:r>
      <w:r w:rsidR="00212CA5">
        <w:rPr>
          <w:rFonts w:hint="eastAsia"/>
        </w:rPr>
        <w:t>、人民币贬值预期</w:t>
      </w:r>
      <w:r>
        <w:rPr>
          <w:rFonts w:hint="eastAsia"/>
        </w:rPr>
        <w:t>与</w:t>
      </w:r>
      <w:r>
        <w:rPr>
          <w:rFonts w:hint="eastAsia"/>
        </w:rPr>
        <w:t>CNY-CNH</w:t>
      </w:r>
      <w:r>
        <w:rPr>
          <w:rFonts w:hint="eastAsia"/>
        </w:rPr>
        <w:t>价差波动分解</w:t>
      </w:r>
    </w:p>
    <w:p w14:paraId="347312BB" w14:textId="6E4DCE35" w:rsidR="00AD7C28" w:rsidRPr="00D16E08" w:rsidRDefault="00D16E08" w:rsidP="00D16E08">
      <w:pPr>
        <w:ind w:firstLine="420"/>
      </w:pPr>
      <w:r w:rsidRPr="00C33B90">
        <w:rPr>
          <w:rFonts w:hint="eastAsia"/>
          <w:noProof/>
        </w:rPr>
        <w:drawing>
          <wp:anchor distT="0" distB="0" distL="114300" distR="114300" simplePos="0" relativeHeight="251740160" behindDoc="0" locked="0" layoutInCell="1" allowOverlap="1" wp14:anchorId="16E23205" wp14:editId="2A28CF7D">
            <wp:simplePos x="0" y="0"/>
            <wp:positionH relativeFrom="column">
              <wp:posOffset>130377</wp:posOffset>
            </wp:positionH>
            <wp:positionV relativeFrom="paragraph">
              <wp:posOffset>3813810</wp:posOffset>
            </wp:positionV>
            <wp:extent cx="2682000" cy="2008800"/>
            <wp:effectExtent l="0" t="0" r="0" b="0"/>
            <wp:wrapSquare wrapText="bothSides"/>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384">
        <w:rPr>
          <w:noProof/>
        </w:rPr>
        <w:drawing>
          <wp:anchor distT="0" distB="0" distL="114300" distR="114300" simplePos="0" relativeHeight="251742208" behindDoc="1" locked="0" layoutInCell="1" allowOverlap="1" wp14:anchorId="5A24FECD" wp14:editId="28BC0F73">
            <wp:simplePos x="0" y="0"/>
            <wp:positionH relativeFrom="column">
              <wp:posOffset>2699385</wp:posOffset>
            </wp:positionH>
            <wp:positionV relativeFrom="paragraph">
              <wp:posOffset>3813810</wp:posOffset>
            </wp:positionV>
            <wp:extent cx="2682000" cy="2008800"/>
            <wp:effectExtent l="0" t="0" r="0" b="0"/>
            <wp:wrapSquare wrapText="bothSides"/>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D2" w:rsidRPr="00E454D2">
        <w:rPr>
          <w:rFonts w:hint="eastAsia"/>
        </w:rPr>
        <w:t>从图</w:t>
      </w:r>
      <w:r w:rsidR="00E454D2" w:rsidRPr="00E454D2">
        <w:rPr>
          <w:rFonts w:hint="eastAsia"/>
        </w:rPr>
        <w:t>3</w:t>
      </w:r>
      <w:r w:rsidR="00631786">
        <w:rPr>
          <w:rFonts w:hint="eastAsia"/>
        </w:rPr>
        <w:t>左图</w:t>
      </w:r>
      <w:r w:rsidR="00E454D2" w:rsidRPr="00E454D2">
        <w:rPr>
          <w:rFonts w:hint="eastAsia"/>
        </w:rPr>
        <w:t>可以看出</w:t>
      </w:r>
      <w:r w:rsidR="00631786">
        <w:rPr>
          <w:rFonts w:hint="eastAsia"/>
        </w:rPr>
        <w:t>中美利差整体呈</w:t>
      </w:r>
      <w:r w:rsidR="00376224">
        <w:rPr>
          <w:rFonts w:hint="eastAsia"/>
        </w:rPr>
        <w:t>先</w:t>
      </w:r>
      <w:r w:rsidR="00631786">
        <w:rPr>
          <w:rFonts w:hint="eastAsia"/>
        </w:rPr>
        <w:t>减小</w:t>
      </w:r>
      <w:r w:rsidR="00376224">
        <w:rPr>
          <w:rFonts w:hint="eastAsia"/>
        </w:rPr>
        <w:t>后增大</w:t>
      </w:r>
      <w:r w:rsidR="00631786">
        <w:rPr>
          <w:rFonts w:hint="eastAsia"/>
        </w:rPr>
        <w:t>趋势，当中美利差增大即国内利率水平上升时，可能影响国外资本流入国内</w:t>
      </w:r>
      <w:r w:rsidR="00E57F39">
        <w:rPr>
          <w:rFonts w:hint="eastAsia"/>
        </w:rPr>
        <w:t>进行套利，从而使得对人民币需求增大，人民币</w:t>
      </w:r>
      <w:r w:rsidR="001D2D98">
        <w:rPr>
          <w:rFonts w:hint="eastAsia"/>
        </w:rPr>
        <w:t>即期</w:t>
      </w:r>
      <w:r w:rsidR="00E57F39">
        <w:rPr>
          <w:rFonts w:hint="eastAsia"/>
        </w:rPr>
        <w:t>升值。反之</w:t>
      </w:r>
      <w:r w:rsidR="0027757E">
        <w:rPr>
          <w:rFonts w:hint="eastAsia"/>
        </w:rPr>
        <w:t>当中美利差减小即国外利率水平上升时，可能影响国外资本流出本国从而使得对人民币需求减少，人民币</w:t>
      </w:r>
      <w:r w:rsidR="00A310F1">
        <w:rPr>
          <w:rFonts w:hint="eastAsia"/>
        </w:rPr>
        <w:t>即期</w:t>
      </w:r>
      <w:r w:rsidR="0027757E">
        <w:rPr>
          <w:rFonts w:hint="eastAsia"/>
        </w:rPr>
        <w:t>贬值。</w:t>
      </w:r>
      <w:r w:rsidR="00E454D2" w:rsidRPr="00E454D2">
        <w:rPr>
          <w:rFonts w:hint="eastAsia"/>
        </w:rPr>
        <w:t>由中美利差影响的</w:t>
      </w:r>
      <w:r w:rsidR="00E454D2" w:rsidRPr="00E454D2">
        <w:rPr>
          <w:rFonts w:hint="eastAsia"/>
        </w:rPr>
        <w:t>CNY-CNH</w:t>
      </w:r>
      <w:r w:rsidR="00E454D2" w:rsidRPr="00E454D2">
        <w:rPr>
          <w:rFonts w:hint="eastAsia"/>
        </w:rPr>
        <w:t>价差</w:t>
      </w:r>
      <w:r w:rsidR="0027757E">
        <w:rPr>
          <w:rFonts w:hint="eastAsia"/>
        </w:rPr>
        <w:t>长期</w:t>
      </w:r>
      <w:r w:rsidR="00E454D2" w:rsidRPr="00E454D2">
        <w:rPr>
          <w:rFonts w:hint="eastAsia"/>
        </w:rPr>
        <w:t>波动</w:t>
      </w:r>
      <w:r w:rsidR="0027757E">
        <w:rPr>
          <w:rFonts w:hint="eastAsia"/>
        </w:rPr>
        <w:t>率整体呈</w:t>
      </w:r>
      <w:r w:rsidR="00AD7C28">
        <w:rPr>
          <w:rFonts w:hint="eastAsia"/>
        </w:rPr>
        <w:t>先</w:t>
      </w:r>
      <w:r w:rsidR="0027757E">
        <w:rPr>
          <w:rFonts w:hint="eastAsia"/>
        </w:rPr>
        <w:t>上升</w:t>
      </w:r>
      <w:r w:rsidR="00AD7C28">
        <w:rPr>
          <w:rFonts w:hint="eastAsia"/>
        </w:rPr>
        <w:t>后降低</w:t>
      </w:r>
      <w:r w:rsidR="0027757E">
        <w:rPr>
          <w:rFonts w:hint="eastAsia"/>
        </w:rPr>
        <w:t>的趋势</w:t>
      </w:r>
      <w:r w:rsidR="00E454D2" w:rsidRPr="00E454D2">
        <w:rPr>
          <w:rFonts w:hint="eastAsia"/>
        </w:rPr>
        <w:t>。</w:t>
      </w:r>
      <w:r w:rsidR="00354111">
        <w:rPr>
          <w:rFonts w:hint="eastAsia"/>
        </w:rPr>
        <w:t>因此</w:t>
      </w:r>
      <w:r w:rsidR="00E454D2" w:rsidRPr="00E454D2">
        <w:rPr>
          <w:rFonts w:hint="eastAsia"/>
        </w:rPr>
        <w:t>可知中美利差与</w:t>
      </w:r>
      <w:r w:rsidR="00E454D2" w:rsidRPr="00E454D2">
        <w:rPr>
          <w:rFonts w:hint="eastAsia"/>
        </w:rPr>
        <w:t>CNY-CNH</w:t>
      </w:r>
      <w:r w:rsidR="00E454D2" w:rsidRPr="00E454D2">
        <w:rPr>
          <w:rFonts w:hint="eastAsia"/>
        </w:rPr>
        <w:t>价差长期波动率整体呈反向变动关系</w:t>
      </w:r>
      <w:r w:rsidR="00A310F1">
        <w:rPr>
          <w:rFonts w:hint="eastAsia"/>
        </w:rPr>
        <w:t>。</w:t>
      </w:r>
      <w:r w:rsidR="00424DD2">
        <w:rPr>
          <w:rFonts w:hint="eastAsia"/>
        </w:rPr>
        <w:t>从图</w:t>
      </w:r>
      <w:r w:rsidR="00993199">
        <w:t>3</w:t>
      </w:r>
      <w:r w:rsidR="00993199">
        <w:rPr>
          <w:rFonts w:hint="eastAsia"/>
        </w:rPr>
        <w:t>右图</w:t>
      </w:r>
      <w:r w:rsidR="00424DD2">
        <w:rPr>
          <w:rFonts w:hint="eastAsia"/>
        </w:rPr>
        <w:t>中可以看出人民币升贬值预期和</w:t>
      </w:r>
      <w:r w:rsidR="00424DD2">
        <w:rPr>
          <w:rFonts w:hint="eastAsia"/>
        </w:rPr>
        <w:t>CNY-CNH</w:t>
      </w:r>
      <w:r w:rsidR="00424DD2">
        <w:rPr>
          <w:rFonts w:hint="eastAsia"/>
        </w:rPr>
        <w:t>价差长期波动</w:t>
      </w:r>
      <w:r w:rsidR="00B027DB">
        <w:rPr>
          <w:rFonts w:hint="eastAsia"/>
        </w:rPr>
        <w:t>率</w:t>
      </w:r>
      <w:r w:rsidR="00424DD2">
        <w:rPr>
          <w:rFonts w:hint="eastAsia"/>
        </w:rPr>
        <w:t>走势相似，呈现出整体先上升然后在</w:t>
      </w:r>
      <w:r w:rsidR="00424DD2">
        <w:rPr>
          <w:rFonts w:hint="eastAsia"/>
        </w:rPr>
        <w:t>2018</w:t>
      </w:r>
      <w:r w:rsidR="00424DD2">
        <w:rPr>
          <w:rFonts w:hint="eastAsia"/>
        </w:rPr>
        <w:t>年前后小幅下降的趋势。</w:t>
      </w:r>
      <w:r w:rsidR="00B027DB" w:rsidRPr="00B027DB">
        <w:rPr>
          <w:rFonts w:hint="eastAsia"/>
        </w:rPr>
        <w:t>NDF</w:t>
      </w:r>
      <w:r w:rsidR="00B027DB" w:rsidRPr="00B027DB">
        <w:rPr>
          <w:rFonts w:hint="eastAsia"/>
        </w:rPr>
        <w:t>增大预示投资者对人民币贬值预期增大，</w:t>
      </w:r>
      <w:r w:rsidR="00424DD2">
        <w:rPr>
          <w:rFonts w:hint="eastAsia"/>
        </w:rPr>
        <w:t>这说明人民贬值预期正向影响</w:t>
      </w:r>
      <w:r w:rsidR="00424DD2">
        <w:rPr>
          <w:rFonts w:hint="eastAsia"/>
        </w:rPr>
        <w:t>CNY-CNH</w:t>
      </w:r>
      <w:r w:rsidR="00424DD2">
        <w:rPr>
          <w:rFonts w:hint="eastAsia"/>
        </w:rPr>
        <w:t>价差的长期波动。</w:t>
      </w:r>
      <w:r w:rsidR="00B027DB" w:rsidRPr="00B027DB">
        <w:rPr>
          <w:rFonts w:hint="eastAsia"/>
        </w:rPr>
        <w:t>行为金融理论认为，心理预期是影响汇率短期走势的重要因素，对人民币未来走势的预期将直接影响在岸与离岸汇差的波动</w:t>
      </w:r>
      <w:r w:rsidR="00B027DB">
        <w:rPr>
          <w:rFonts w:hint="eastAsia"/>
        </w:rPr>
        <w:t>。</w:t>
      </w:r>
      <w:r w:rsidR="00697888">
        <w:rPr>
          <w:rFonts w:hint="eastAsia"/>
        </w:rPr>
        <w:t>本文和</w:t>
      </w:r>
      <w:bookmarkStart w:id="1" w:name="_Hlk93076390"/>
      <w:r w:rsidR="006353F3">
        <w:rPr>
          <w:rFonts w:hint="eastAsia"/>
        </w:rPr>
        <w:t>贾彦乐</w:t>
      </w:r>
      <w:r w:rsidR="00697888">
        <w:rPr>
          <w:rFonts w:hint="eastAsia"/>
        </w:rPr>
        <w:t>（</w:t>
      </w:r>
      <w:r w:rsidR="00697888">
        <w:rPr>
          <w:rFonts w:hint="eastAsia"/>
        </w:rPr>
        <w:t>2</w:t>
      </w:r>
      <w:r w:rsidR="00697888">
        <w:t>016</w:t>
      </w:r>
      <w:r w:rsidR="00697888">
        <w:rPr>
          <w:rFonts w:hint="eastAsia"/>
        </w:rPr>
        <w:t>）</w:t>
      </w:r>
      <w:bookmarkEnd w:id="1"/>
      <w:r w:rsidR="00C701C4">
        <w:rPr>
          <w:rFonts w:hint="eastAsia"/>
          <w:sz w:val="20"/>
          <w:szCs w:val="20"/>
          <w:vertAlign w:val="superscript"/>
        </w:rPr>
        <w:t>[</w:t>
      </w:r>
      <w:r w:rsidR="00C701C4">
        <w:rPr>
          <w:sz w:val="20"/>
          <w:szCs w:val="20"/>
          <w:vertAlign w:val="superscript"/>
        </w:rPr>
        <w:t>1</w:t>
      </w:r>
      <w:r w:rsidR="006E02F9">
        <w:rPr>
          <w:sz w:val="20"/>
          <w:szCs w:val="20"/>
          <w:vertAlign w:val="superscript"/>
        </w:rPr>
        <w:t>3</w:t>
      </w:r>
      <w:r w:rsidR="00227D50">
        <w:rPr>
          <w:sz w:val="20"/>
          <w:szCs w:val="20"/>
          <w:vertAlign w:val="superscript"/>
        </w:rPr>
        <w:t>]</w:t>
      </w:r>
      <w:r w:rsidR="00D77A69">
        <w:rPr>
          <w:rFonts w:hint="eastAsia"/>
        </w:rPr>
        <w:t>研究结论</w:t>
      </w:r>
      <w:r w:rsidR="00697888">
        <w:rPr>
          <w:rFonts w:hint="eastAsia"/>
        </w:rPr>
        <w:t>一致，</w:t>
      </w:r>
      <w:r w:rsidR="00B027DB">
        <w:rPr>
          <w:rFonts w:hint="eastAsia"/>
        </w:rPr>
        <w:t>即认为</w:t>
      </w:r>
      <w:r w:rsidR="008C1CDB">
        <w:rPr>
          <w:rFonts w:hint="eastAsia"/>
        </w:rPr>
        <w:t>当</w:t>
      </w:r>
      <w:r w:rsidR="00A4740B">
        <w:rPr>
          <w:rFonts w:hint="eastAsia"/>
          <w:sz w:val="22"/>
          <w:szCs w:val="22"/>
        </w:rPr>
        <w:t>人民币贬值预期增</w:t>
      </w:r>
      <w:r w:rsidR="008C1CDB">
        <w:rPr>
          <w:rFonts w:hint="eastAsia"/>
          <w:sz w:val="22"/>
          <w:szCs w:val="22"/>
        </w:rPr>
        <w:t>大</w:t>
      </w:r>
      <w:r w:rsidR="00A4740B">
        <w:rPr>
          <w:rFonts w:hint="eastAsia"/>
          <w:sz w:val="22"/>
          <w:szCs w:val="22"/>
        </w:rPr>
        <w:t>时，</w:t>
      </w:r>
      <w:r w:rsidR="008C1CDB">
        <w:rPr>
          <w:rFonts w:hint="eastAsia"/>
          <w:sz w:val="22"/>
          <w:szCs w:val="22"/>
        </w:rPr>
        <w:t>离岸人民币汇率</w:t>
      </w:r>
      <w:r w:rsidR="00A876BB">
        <w:rPr>
          <w:rFonts w:hint="eastAsia"/>
          <w:sz w:val="22"/>
          <w:szCs w:val="22"/>
        </w:rPr>
        <w:t>由于不受管制等原因其</w:t>
      </w:r>
      <w:r w:rsidR="008C1CDB">
        <w:rPr>
          <w:rFonts w:hint="eastAsia"/>
          <w:sz w:val="22"/>
          <w:szCs w:val="22"/>
        </w:rPr>
        <w:t>贬值速度快于在岸人民币汇率，</w:t>
      </w:r>
      <w:r w:rsidR="00A4740B">
        <w:rPr>
          <w:rFonts w:hint="eastAsia"/>
          <w:sz w:val="22"/>
          <w:szCs w:val="22"/>
        </w:rPr>
        <w:t>在</w:t>
      </w:r>
      <w:r w:rsidR="005A57AE">
        <w:rPr>
          <w:rFonts w:hint="eastAsia"/>
          <w:sz w:val="22"/>
          <w:szCs w:val="22"/>
        </w:rPr>
        <w:t>岸与</w:t>
      </w:r>
      <w:r w:rsidR="00A4740B">
        <w:rPr>
          <w:rFonts w:hint="eastAsia"/>
          <w:sz w:val="22"/>
          <w:szCs w:val="22"/>
        </w:rPr>
        <w:t>离岸负向汇差扩大</w:t>
      </w:r>
      <w:r w:rsidR="008C1CDB">
        <w:rPr>
          <w:rFonts w:hint="eastAsia"/>
          <w:sz w:val="22"/>
          <w:szCs w:val="22"/>
        </w:rPr>
        <w:t>，</w:t>
      </w:r>
      <w:r w:rsidR="008C1CDB">
        <w:rPr>
          <w:rFonts w:hint="eastAsia"/>
          <w:sz w:val="22"/>
          <w:szCs w:val="22"/>
        </w:rPr>
        <w:t>C</w:t>
      </w:r>
      <w:r w:rsidR="008C1CDB">
        <w:rPr>
          <w:sz w:val="22"/>
          <w:szCs w:val="22"/>
        </w:rPr>
        <w:t>NY-CNH</w:t>
      </w:r>
      <w:r w:rsidR="008C1CDB">
        <w:rPr>
          <w:rFonts w:hint="eastAsia"/>
          <w:sz w:val="22"/>
          <w:szCs w:val="22"/>
        </w:rPr>
        <w:t>价差波动增大</w:t>
      </w:r>
      <w:r w:rsidR="00A4740B">
        <w:rPr>
          <w:rFonts w:hint="eastAsia"/>
          <w:sz w:val="22"/>
          <w:szCs w:val="22"/>
        </w:rPr>
        <w:t>。因此，</w:t>
      </w:r>
      <w:r w:rsidR="005A57AE">
        <w:rPr>
          <w:rFonts w:hint="eastAsia"/>
          <w:sz w:val="22"/>
          <w:szCs w:val="22"/>
        </w:rPr>
        <w:t>人民币贬值预期增大会导致</w:t>
      </w:r>
      <w:r w:rsidR="005A57AE">
        <w:rPr>
          <w:rFonts w:hint="eastAsia"/>
          <w:sz w:val="22"/>
          <w:szCs w:val="22"/>
        </w:rPr>
        <w:t>C</w:t>
      </w:r>
      <w:r w:rsidR="005A57AE">
        <w:rPr>
          <w:sz w:val="22"/>
          <w:szCs w:val="22"/>
        </w:rPr>
        <w:t>NY-CNH</w:t>
      </w:r>
      <w:r w:rsidR="005A57AE">
        <w:rPr>
          <w:rFonts w:hint="eastAsia"/>
          <w:sz w:val="22"/>
          <w:szCs w:val="22"/>
        </w:rPr>
        <w:t>价差波动增大</w:t>
      </w:r>
      <w:r w:rsidR="005620F6">
        <w:rPr>
          <w:rFonts w:hint="eastAsia"/>
          <w:sz w:val="22"/>
          <w:szCs w:val="22"/>
        </w:rPr>
        <w:t>。</w:t>
      </w:r>
    </w:p>
    <w:p w14:paraId="57F7E8EA" w14:textId="77777777" w:rsidR="00D16E08" w:rsidRDefault="00D16E08" w:rsidP="00D16E08">
      <w:pPr>
        <w:widowControl/>
        <w:adjustRightInd w:val="0"/>
        <w:snapToGrid w:val="0"/>
        <w:spacing w:line="240" w:lineRule="auto"/>
        <w:ind w:firstLineChars="0" w:firstLine="0"/>
      </w:pPr>
    </w:p>
    <w:p w14:paraId="5E02FFEE" w14:textId="18FDB43B" w:rsidR="00AD7C28" w:rsidRPr="00AD7C28" w:rsidRDefault="00AD7C28" w:rsidP="00D16E08">
      <w:pPr>
        <w:widowControl/>
        <w:adjustRightInd w:val="0"/>
        <w:snapToGrid w:val="0"/>
        <w:spacing w:line="240" w:lineRule="auto"/>
        <w:ind w:firstLineChars="0" w:firstLine="0"/>
        <w:jc w:val="center"/>
        <w:rPr>
          <w:sz w:val="22"/>
          <w:szCs w:val="22"/>
        </w:rPr>
      </w:pPr>
      <w:r>
        <w:rPr>
          <w:rFonts w:hint="eastAsia"/>
        </w:rPr>
        <w:t>图</w:t>
      </w:r>
      <w:r>
        <w:t>4</w:t>
      </w:r>
      <w:r>
        <w:rPr>
          <w:rFonts w:hint="eastAsia"/>
        </w:rPr>
        <w:t xml:space="preserve"> </w:t>
      </w:r>
      <w:r>
        <w:rPr>
          <w:rFonts w:hint="eastAsia"/>
        </w:rPr>
        <w:t>经济政策不确定性、地缘政治风险与</w:t>
      </w:r>
      <w:r>
        <w:rPr>
          <w:rFonts w:hint="eastAsia"/>
        </w:rPr>
        <w:t>CNY-CNH</w:t>
      </w:r>
      <w:r>
        <w:rPr>
          <w:rFonts w:hint="eastAsia"/>
        </w:rPr>
        <w:t>价差波动分解</w:t>
      </w:r>
    </w:p>
    <w:p w14:paraId="332F7B6E" w14:textId="63D2419A" w:rsidR="00212CA5" w:rsidRDefault="007E4102" w:rsidP="007E4102">
      <w:pPr>
        <w:ind w:firstLine="420"/>
      </w:pPr>
      <w:r w:rsidRPr="00DC63F0">
        <w:rPr>
          <w:rFonts w:hint="eastAsia"/>
          <w:noProof/>
        </w:rPr>
        <w:lastRenderedPageBreak/>
        <w:drawing>
          <wp:anchor distT="0" distB="0" distL="114300" distR="114300" simplePos="0" relativeHeight="251744256" behindDoc="0" locked="0" layoutInCell="1" allowOverlap="1" wp14:anchorId="062C6AA7" wp14:editId="6FF3FD0D">
            <wp:simplePos x="0" y="0"/>
            <wp:positionH relativeFrom="column">
              <wp:posOffset>80327</wp:posOffset>
            </wp:positionH>
            <wp:positionV relativeFrom="paragraph">
              <wp:posOffset>3685222</wp:posOffset>
            </wp:positionV>
            <wp:extent cx="2682000" cy="2008800"/>
            <wp:effectExtent l="0" t="0" r="4445" b="0"/>
            <wp:wrapSquare wrapText="bothSides"/>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F0" w:rsidRPr="00DC63F0">
        <w:rPr>
          <w:rFonts w:hint="eastAsia"/>
          <w:noProof/>
        </w:rPr>
        <w:drawing>
          <wp:anchor distT="0" distB="0" distL="114300" distR="114300" simplePos="0" relativeHeight="251745280" behindDoc="0" locked="0" layoutInCell="1" allowOverlap="1" wp14:anchorId="3492F569" wp14:editId="734A1E12">
            <wp:simplePos x="0" y="0"/>
            <wp:positionH relativeFrom="column">
              <wp:posOffset>2570480</wp:posOffset>
            </wp:positionH>
            <wp:positionV relativeFrom="paragraph">
              <wp:posOffset>3687445</wp:posOffset>
            </wp:positionV>
            <wp:extent cx="2682000" cy="2008800"/>
            <wp:effectExtent l="0" t="0" r="0" b="0"/>
            <wp:wrapSquare wrapText="bothSides"/>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D2">
        <w:rPr>
          <w:rFonts w:hint="eastAsia"/>
        </w:rPr>
        <w:t>观察图</w:t>
      </w:r>
      <w:r w:rsidR="00AA17AA">
        <w:t>4</w:t>
      </w:r>
      <w:r w:rsidR="00B5345A">
        <w:rPr>
          <w:rFonts w:hint="eastAsia"/>
        </w:rPr>
        <w:t>左图</w:t>
      </w:r>
      <w:r w:rsidR="00E454D2">
        <w:rPr>
          <w:rFonts w:hint="eastAsia"/>
        </w:rPr>
        <w:t>可知</w:t>
      </w:r>
      <w:r w:rsidR="00B5345A">
        <w:rPr>
          <w:rFonts w:hint="eastAsia"/>
        </w:rPr>
        <w:t>经济政策不确定性整体呈增大趋势，由经济政策不确定性影响的</w:t>
      </w:r>
      <w:r w:rsidR="00B5345A">
        <w:rPr>
          <w:rFonts w:hint="eastAsia"/>
        </w:rPr>
        <w:t>C</w:t>
      </w:r>
      <w:r w:rsidR="00B5345A">
        <w:t>NY-CNH</w:t>
      </w:r>
      <w:r w:rsidR="00B5345A">
        <w:rPr>
          <w:rFonts w:hint="eastAsia"/>
        </w:rPr>
        <w:t>价差长期波动率也整体呈上升趋势。因此</w:t>
      </w:r>
      <w:r w:rsidR="007F06BA">
        <w:rPr>
          <w:rFonts w:hint="eastAsia"/>
        </w:rPr>
        <w:t>可以</w:t>
      </w:r>
      <w:r w:rsidR="00B5345A">
        <w:rPr>
          <w:rFonts w:hint="eastAsia"/>
        </w:rPr>
        <w:t>得出</w:t>
      </w:r>
      <w:r w:rsidR="007F06BA">
        <w:rPr>
          <w:rFonts w:hint="eastAsia"/>
        </w:rPr>
        <w:t>结论</w:t>
      </w:r>
      <w:r w:rsidR="00E454D2">
        <w:rPr>
          <w:rFonts w:hint="eastAsia"/>
        </w:rPr>
        <w:t>随着经济政策不确定性增大，</w:t>
      </w:r>
      <w:r w:rsidR="00E454D2">
        <w:rPr>
          <w:rFonts w:hint="eastAsia"/>
        </w:rPr>
        <w:t>CNY-CNH</w:t>
      </w:r>
      <w:r w:rsidR="00E454D2">
        <w:rPr>
          <w:rFonts w:hint="eastAsia"/>
        </w:rPr>
        <w:t>价差长期波动率也在增大。这说明经济政策不确定性正向影响</w:t>
      </w:r>
      <w:r w:rsidR="00E454D2">
        <w:rPr>
          <w:rFonts w:hint="eastAsia"/>
        </w:rPr>
        <w:t>CNY-CNH</w:t>
      </w:r>
      <w:r w:rsidR="00E454D2">
        <w:rPr>
          <w:rFonts w:hint="eastAsia"/>
        </w:rPr>
        <w:t>价差的长期波动。</w:t>
      </w:r>
      <w:r w:rsidR="00B41B0C">
        <w:rPr>
          <w:rFonts w:hint="eastAsia"/>
        </w:rPr>
        <w:t>这可能的原因是</w:t>
      </w:r>
      <w:r w:rsidR="00E454D2">
        <w:rPr>
          <w:rFonts w:hint="eastAsia"/>
        </w:rPr>
        <w:t>，当经济政策不确定性增大时，</w:t>
      </w:r>
      <w:r w:rsidR="00B41B0C">
        <w:rPr>
          <w:rFonts w:hint="eastAsia"/>
        </w:rPr>
        <w:t>风险偏好低的投资者对人民币汇率需求减少，从而</w:t>
      </w:r>
      <w:r w:rsidR="00E454D2">
        <w:rPr>
          <w:rFonts w:hint="eastAsia"/>
        </w:rPr>
        <w:t>人民币汇率贬值预期增大，导致</w:t>
      </w:r>
      <w:r w:rsidR="00E454D2">
        <w:rPr>
          <w:rFonts w:hint="eastAsia"/>
        </w:rPr>
        <w:t>C</w:t>
      </w:r>
      <w:r w:rsidR="00E454D2">
        <w:t>NY-CNH</w:t>
      </w:r>
      <w:r w:rsidR="00E454D2">
        <w:rPr>
          <w:rFonts w:hint="eastAsia"/>
        </w:rPr>
        <w:t>价差波动增大。</w:t>
      </w:r>
      <w:r w:rsidR="00424DD2">
        <w:rPr>
          <w:rFonts w:hint="eastAsia"/>
        </w:rPr>
        <w:t>观察图</w:t>
      </w:r>
      <w:r w:rsidR="00AD7C28">
        <w:t>4</w:t>
      </w:r>
      <w:r w:rsidR="00AD7C28">
        <w:rPr>
          <w:rFonts w:hint="eastAsia"/>
        </w:rPr>
        <w:t>右</w:t>
      </w:r>
      <w:r w:rsidR="00B41B0C">
        <w:rPr>
          <w:rFonts w:hint="eastAsia"/>
        </w:rPr>
        <w:t>图可知地缘政治风险在一些年份异常增大，由地缘政治风险引起的</w:t>
      </w:r>
      <w:r w:rsidR="00B41B0C">
        <w:rPr>
          <w:rFonts w:hint="eastAsia"/>
        </w:rPr>
        <w:t>C</w:t>
      </w:r>
      <w:r w:rsidR="00B41B0C">
        <w:t>NY-CNH</w:t>
      </w:r>
      <w:r w:rsidR="00B41B0C">
        <w:rPr>
          <w:rFonts w:hint="eastAsia"/>
        </w:rPr>
        <w:t>价差长期波动率也在一些年份异常增大，并且</w:t>
      </w:r>
      <w:r w:rsidR="003F4D10">
        <w:rPr>
          <w:rFonts w:hint="eastAsia"/>
        </w:rPr>
        <w:t>地缘政治风险指数走势与受地缘政治风险影响的</w:t>
      </w:r>
      <w:r w:rsidR="003F4D10">
        <w:rPr>
          <w:rFonts w:hint="eastAsia"/>
        </w:rPr>
        <w:t>CNY-CNH</w:t>
      </w:r>
      <w:r w:rsidR="003F4D10">
        <w:rPr>
          <w:rFonts w:hint="eastAsia"/>
        </w:rPr>
        <w:t>价差长期波动走势相似。因此</w:t>
      </w:r>
      <w:r w:rsidR="00424DD2">
        <w:rPr>
          <w:rFonts w:hint="eastAsia"/>
        </w:rPr>
        <w:t>地缘政治风险增大，</w:t>
      </w:r>
      <w:r w:rsidR="00424DD2">
        <w:rPr>
          <w:rFonts w:hint="eastAsia"/>
        </w:rPr>
        <w:t>CNY-CNH</w:t>
      </w:r>
      <w:r w:rsidR="00424DD2">
        <w:rPr>
          <w:rFonts w:hint="eastAsia"/>
        </w:rPr>
        <w:t>价差长期波动率增大。</w:t>
      </w:r>
      <w:r w:rsidR="00700417">
        <w:rPr>
          <w:rFonts w:hint="eastAsia"/>
        </w:rPr>
        <w:t>由此可得出地缘政治风险的变化对</w:t>
      </w:r>
      <w:r w:rsidR="005F5FE3">
        <w:rPr>
          <w:rFonts w:hint="eastAsia"/>
        </w:rPr>
        <w:t>C</w:t>
      </w:r>
      <w:r w:rsidR="005F5FE3">
        <w:t>NY-CNH</w:t>
      </w:r>
      <w:r w:rsidR="005F5FE3">
        <w:rPr>
          <w:rFonts w:hint="eastAsia"/>
        </w:rPr>
        <w:t>价差波动</w:t>
      </w:r>
      <w:r w:rsidR="00700417">
        <w:rPr>
          <w:rFonts w:hint="eastAsia"/>
        </w:rPr>
        <w:t>影响的作用机理为：当地缘政治风险增大时，</w:t>
      </w:r>
      <w:r w:rsidR="003F4D10">
        <w:rPr>
          <w:rFonts w:hint="eastAsia"/>
        </w:rPr>
        <w:t>投资者更倾向于投资黄金等稳健资产，对</w:t>
      </w:r>
      <w:r w:rsidR="00700417">
        <w:rPr>
          <w:rFonts w:hint="eastAsia"/>
        </w:rPr>
        <w:t>人民币需求减弱，</w:t>
      </w:r>
      <w:r w:rsidR="003F4D10">
        <w:rPr>
          <w:rFonts w:hint="eastAsia"/>
        </w:rPr>
        <w:t>人民币</w:t>
      </w:r>
      <w:r w:rsidR="00E83033">
        <w:rPr>
          <w:rFonts w:hint="eastAsia"/>
        </w:rPr>
        <w:t>汇率</w:t>
      </w:r>
      <w:r w:rsidR="003F4D10">
        <w:rPr>
          <w:rFonts w:hint="eastAsia"/>
        </w:rPr>
        <w:t>贬值，</w:t>
      </w:r>
      <w:r w:rsidR="00700417">
        <w:rPr>
          <w:rFonts w:hint="eastAsia"/>
        </w:rPr>
        <w:t>离岸人民币与在岸人民币相比贬值幅度更大，在离岸人民币负向汇差增大，在离岸人民币汇差波动增大。</w:t>
      </w:r>
    </w:p>
    <w:p w14:paraId="537C5327" w14:textId="36FDFBB9" w:rsidR="00212CA5" w:rsidRDefault="00212CA5" w:rsidP="00FF3990">
      <w:pPr>
        <w:adjustRightInd w:val="0"/>
        <w:snapToGrid w:val="0"/>
        <w:spacing w:line="240" w:lineRule="auto"/>
        <w:ind w:firstLineChars="0" w:firstLine="0"/>
        <w:jc w:val="center"/>
      </w:pPr>
    </w:p>
    <w:p w14:paraId="6B4A0A0E" w14:textId="0175AA35" w:rsidR="004536E0" w:rsidRDefault="001A410F" w:rsidP="007E4102">
      <w:pPr>
        <w:ind w:firstLineChars="0" w:firstLine="0"/>
        <w:jc w:val="center"/>
      </w:pPr>
      <w:r>
        <w:rPr>
          <w:rFonts w:hint="eastAsia"/>
        </w:rPr>
        <w:t>图</w:t>
      </w:r>
      <w:r w:rsidR="00BC3079">
        <w:t>5</w:t>
      </w:r>
      <w:r>
        <w:rPr>
          <w:rFonts w:hint="eastAsia"/>
        </w:rPr>
        <w:t xml:space="preserve"> </w:t>
      </w:r>
      <w:r>
        <w:rPr>
          <w:rFonts w:hint="eastAsia"/>
        </w:rPr>
        <w:t>国内</w:t>
      </w:r>
      <w:r w:rsidR="00212CA5">
        <w:rPr>
          <w:rFonts w:hint="eastAsia"/>
        </w:rPr>
        <w:t>、国际</w:t>
      </w:r>
      <w:r>
        <w:rPr>
          <w:rFonts w:hint="eastAsia"/>
        </w:rPr>
        <w:t>投资者关注度与</w:t>
      </w:r>
      <w:r>
        <w:rPr>
          <w:rFonts w:hint="eastAsia"/>
        </w:rPr>
        <w:t>CNY-CNH</w:t>
      </w:r>
      <w:r>
        <w:rPr>
          <w:rFonts w:hint="eastAsia"/>
        </w:rPr>
        <w:t>价差波动分解</w:t>
      </w:r>
    </w:p>
    <w:p w14:paraId="5767AD88" w14:textId="5719FD80" w:rsidR="002512D8" w:rsidRDefault="00700417" w:rsidP="00DC63F0">
      <w:pPr>
        <w:ind w:firstLine="420"/>
      </w:pPr>
      <w:r>
        <w:rPr>
          <w:rFonts w:hint="eastAsia"/>
        </w:rPr>
        <w:t>观察图</w:t>
      </w:r>
      <w:r w:rsidR="00BC3079">
        <w:t>5</w:t>
      </w:r>
      <w:r w:rsidR="005960E4">
        <w:rPr>
          <w:rFonts w:hint="eastAsia"/>
        </w:rPr>
        <w:t>左图</w:t>
      </w:r>
      <w:r>
        <w:rPr>
          <w:rFonts w:hint="eastAsia"/>
        </w:rPr>
        <w:t>可知基于百度指数</w:t>
      </w:r>
      <w:r>
        <w:rPr>
          <w:rFonts w:hint="eastAsia"/>
        </w:rPr>
        <w:t>CNH</w:t>
      </w:r>
      <w:r>
        <w:rPr>
          <w:rFonts w:hint="eastAsia"/>
        </w:rPr>
        <w:t>的国内投资者关注度整体呈先增大后减小趋势，</w:t>
      </w:r>
      <w:r w:rsidR="005960E4">
        <w:rPr>
          <w:rFonts w:hint="eastAsia"/>
        </w:rPr>
        <w:t>由国内投资者关注度影响的</w:t>
      </w:r>
      <w:r>
        <w:rPr>
          <w:rFonts w:hint="eastAsia"/>
        </w:rPr>
        <w:t>CNY-CNH</w:t>
      </w:r>
      <w:r>
        <w:rPr>
          <w:rFonts w:hint="eastAsia"/>
        </w:rPr>
        <w:t>价差长期波动率整体也呈先增大后减小趋势。</w:t>
      </w:r>
      <w:r w:rsidR="005960E4">
        <w:rPr>
          <w:rFonts w:hint="eastAsia"/>
        </w:rPr>
        <w:t>因此本文认为基于百度指数</w:t>
      </w:r>
      <w:r w:rsidR="005960E4">
        <w:rPr>
          <w:rFonts w:hint="eastAsia"/>
        </w:rPr>
        <w:t>C</w:t>
      </w:r>
      <w:r w:rsidR="005960E4">
        <w:t>NH</w:t>
      </w:r>
      <w:r w:rsidR="005960E4">
        <w:rPr>
          <w:rFonts w:hint="eastAsia"/>
        </w:rPr>
        <w:t>的国内投资者关注度与</w:t>
      </w:r>
      <w:r w:rsidR="005960E4">
        <w:rPr>
          <w:rFonts w:hint="eastAsia"/>
        </w:rPr>
        <w:t>C</w:t>
      </w:r>
      <w:r w:rsidR="005960E4">
        <w:t>NY-CNH</w:t>
      </w:r>
      <w:r w:rsidR="005960E4">
        <w:rPr>
          <w:rFonts w:hint="eastAsia"/>
        </w:rPr>
        <w:t>价差长期波动呈正相关关系。</w:t>
      </w:r>
      <w:r w:rsidR="00035E04">
        <w:rPr>
          <w:rFonts w:hint="eastAsia"/>
        </w:rPr>
        <w:t>当百度指数</w:t>
      </w:r>
      <w:r w:rsidR="00035E04">
        <w:rPr>
          <w:rFonts w:hint="eastAsia"/>
        </w:rPr>
        <w:t>C</w:t>
      </w:r>
      <w:r w:rsidR="00035E04">
        <w:t>NH</w:t>
      </w:r>
      <w:r w:rsidR="00035E04">
        <w:rPr>
          <w:rFonts w:hint="eastAsia"/>
        </w:rPr>
        <w:t>增大即国内投资者关注度增大时，</w:t>
      </w:r>
      <w:r w:rsidR="00035E04">
        <w:rPr>
          <w:rFonts w:hint="eastAsia"/>
        </w:rPr>
        <w:t>C</w:t>
      </w:r>
      <w:r w:rsidR="00035E04">
        <w:t>NY-CNH</w:t>
      </w:r>
      <w:r w:rsidR="00035E04">
        <w:rPr>
          <w:rFonts w:hint="eastAsia"/>
        </w:rPr>
        <w:t>价差长期波动增大。</w:t>
      </w:r>
      <w:r w:rsidR="00424DD2">
        <w:rPr>
          <w:rFonts w:hint="eastAsia"/>
        </w:rPr>
        <w:t>观察图</w:t>
      </w:r>
      <w:r w:rsidR="00BC3079">
        <w:t>5</w:t>
      </w:r>
      <w:r w:rsidR="007F06BA">
        <w:rPr>
          <w:rFonts w:hint="eastAsia"/>
        </w:rPr>
        <w:t>右</w:t>
      </w:r>
      <w:r w:rsidR="00747F68">
        <w:rPr>
          <w:rFonts w:hint="eastAsia"/>
        </w:rPr>
        <w:t>图</w:t>
      </w:r>
      <w:r w:rsidR="00424DD2">
        <w:rPr>
          <w:rFonts w:hint="eastAsia"/>
        </w:rPr>
        <w:t>可知基于谷歌趋势</w:t>
      </w:r>
      <w:r w:rsidR="00424DD2">
        <w:rPr>
          <w:rFonts w:hint="eastAsia"/>
        </w:rPr>
        <w:t>CNH</w:t>
      </w:r>
      <w:r w:rsidR="00424DD2">
        <w:rPr>
          <w:rFonts w:hint="eastAsia"/>
        </w:rPr>
        <w:t>的国际投资者关注度在</w:t>
      </w:r>
      <w:r w:rsidR="00424DD2">
        <w:rPr>
          <w:rFonts w:hint="eastAsia"/>
        </w:rPr>
        <w:t>2017</w:t>
      </w:r>
      <w:r w:rsidR="00424DD2">
        <w:rPr>
          <w:rFonts w:hint="eastAsia"/>
        </w:rPr>
        <w:t>年附近异常增大，</w:t>
      </w:r>
      <w:r w:rsidR="00747F68">
        <w:rPr>
          <w:rFonts w:hint="eastAsia"/>
        </w:rPr>
        <w:t>由国际投资者关注度影响的</w:t>
      </w:r>
      <w:r w:rsidR="00424DD2">
        <w:rPr>
          <w:rFonts w:hint="eastAsia"/>
        </w:rPr>
        <w:t>CNY-CNH</w:t>
      </w:r>
      <w:r w:rsidR="00424DD2">
        <w:rPr>
          <w:rFonts w:hint="eastAsia"/>
        </w:rPr>
        <w:t>价差长期波动率也在</w:t>
      </w:r>
      <w:r w:rsidR="00424DD2">
        <w:rPr>
          <w:rFonts w:hint="eastAsia"/>
        </w:rPr>
        <w:t>2017</w:t>
      </w:r>
      <w:r w:rsidR="00424DD2">
        <w:rPr>
          <w:rFonts w:hint="eastAsia"/>
        </w:rPr>
        <w:t>年附近异常增大，从而说明</w:t>
      </w:r>
      <w:r w:rsidR="00747F68">
        <w:rPr>
          <w:rFonts w:hint="eastAsia"/>
        </w:rPr>
        <w:t>基于谷歌指数</w:t>
      </w:r>
      <w:r w:rsidR="00747F68">
        <w:rPr>
          <w:rFonts w:hint="eastAsia"/>
        </w:rPr>
        <w:t>C</w:t>
      </w:r>
      <w:r w:rsidR="00747F68">
        <w:t>NH</w:t>
      </w:r>
      <w:r w:rsidR="00747F68">
        <w:rPr>
          <w:rFonts w:hint="eastAsia"/>
        </w:rPr>
        <w:t>的国际投资者关注度与</w:t>
      </w:r>
      <w:r w:rsidR="00747F68">
        <w:rPr>
          <w:rFonts w:hint="eastAsia"/>
        </w:rPr>
        <w:t>C</w:t>
      </w:r>
      <w:r w:rsidR="00747F68">
        <w:t>NY-CNH</w:t>
      </w:r>
      <w:r w:rsidR="00747F68">
        <w:rPr>
          <w:rFonts w:hint="eastAsia"/>
        </w:rPr>
        <w:t>价差长期波动呈正相关关系，</w:t>
      </w:r>
      <w:r w:rsidR="00424DD2">
        <w:rPr>
          <w:rFonts w:hint="eastAsia"/>
        </w:rPr>
        <w:t>国际投资者关注度的正向增加会引起</w:t>
      </w:r>
      <w:r w:rsidR="00424DD2">
        <w:rPr>
          <w:rFonts w:hint="eastAsia"/>
        </w:rPr>
        <w:t>CNY-CNH</w:t>
      </w:r>
      <w:r w:rsidR="00424DD2">
        <w:rPr>
          <w:rFonts w:hint="eastAsia"/>
        </w:rPr>
        <w:t>价差长期波动的增大。</w:t>
      </w:r>
      <w:r w:rsidR="00747F68">
        <w:rPr>
          <w:rFonts w:hint="eastAsia"/>
        </w:rPr>
        <w:t>我国学者</w:t>
      </w:r>
      <w:r w:rsidR="009F3E38">
        <w:rPr>
          <w:rFonts w:hint="eastAsia"/>
        </w:rPr>
        <w:t>尹力博（</w:t>
      </w:r>
      <w:r w:rsidR="009F3E38">
        <w:rPr>
          <w:rFonts w:hint="eastAsia"/>
        </w:rPr>
        <w:t>2</w:t>
      </w:r>
      <w:r w:rsidR="009F3E38">
        <w:t>01</w:t>
      </w:r>
      <w:r w:rsidR="003E588B">
        <w:t>7</w:t>
      </w:r>
      <w:r w:rsidR="009F3E38">
        <w:rPr>
          <w:rFonts w:hint="eastAsia"/>
        </w:rPr>
        <w:t>）的研究</w:t>
      </w:r>
      <w:r w:rsidR="00333C7F">
        <w:rPr>
          <w:rFonts w:hint="eastAsia"/>
        </w:rPr>
        <w:t>利用</w:t>
      </w:r>
      <w:r w:rsidR="00333C7F">
        <w:rPr>
          <w:rFonts w:hint="eastAsia"/>
        </w:rPr>
        <w:t>1</w:t>
      </w:r>
      <w:r w:rsidR="00333C7F">
        <w:t>4</w:t>
      </w:r>
      <w:r w:rsidR="00333C7F">
        <w:rPr>
          <w:rFonts w:hint="eastAsia"/>
        </w:rPr>
        <w:lastRenderedPageBreak/>
        <w:t>个关键词的谷歌趋势构建投资者关注度，结论认</w:t>
      </w:r>
      <w:r w:rsidR="009F3E38">
        <w:rPr>
          <w:rFonts w:hint="eastAsia"/>
        </w:rPr>
        <w:t>为</w:t>
      </w:r>
      <w:r w:rsidR="00333C7F">
        <w:rPr>
          <w:rFonts w:hint="eastAsia"/>
        </w:rPr>
        <w:t>无论是</w:t>
      </w:r>
      <w:r w:rsidR="00747F68">
        <w:rPr>
          <w:rFonts w:hint="eastAsia"/>
        </w:rPr>
        <w:t>价差波动的</w:t>
      </w:r>
      <w:r w:rsidR="00333C7F">
        <w:rPr>
          <w:rFonts w:hint="eastAsia"/>
        </w:rPr>
        <w:t>长期成分还是短期成分，投资者关注的增加都会使人民币汇率价差波动增大。</w:t>
      </w:r>
      <w:r w:rsidR="009F3E38">
        <w:rPr>
          <w:rFonts w:hint="eastAsia"/>
        </w:rPr>
        <w:t>本文研究结论与之有相似之处</w:t>
      </w:r>
      <w:r w:rsidR="00333C7F">
        <w:rPr>
          <w:rFonts w:hint="eastAsia"/>
        </w:rPr>
        <w:t>，但本文的研究还进一步</w:t>
      </w:r>
      <w:r w:rsidR="006B1B61">
        <w:rPr>
          <w:rFonts w:hint="eastAsia"/>
        </w:rPr>
        <w:t>将投资者关注度分为了国内投资者关注度和</w:t>
      </w:r>
      <w:r w:rsidR="00BC3079">
        <w:rPr>
          <w:rFonts w:hint="eastAsia"/>
        </w:rPr>
        <w:t>国际</w:t>
      </w:r>
      <w:r w:rsidR="006B1B61">
        <w:rPr>
          <w:rFonts w:hint="eastAsia"/>
        </w:rPr>
        <w:t>投资者关注度，并认为</w:t>
      </w:r>
      <w:r w:rsidR="007E4102" w:rsidRPr="00DC63F0">
        <w:rPr>
          <w:noProof/>
        </w:rPr>
        <w:drawing>
          <wp:anchor distT="0" distB="0" distL="114300" distR="114300" simplePos="0" relativeHeight="251746304" behindDoc="1" locked="0" layoutInCell="1" allowOverlap="1" wp14:anchorId="7ED32011" wp14:editId="43B2B855">
            <wp:simplePos x="0" y="0"/>
            <wp:positionH relativeFrom="column">
              <wp:posOffset>67945</wp:posOffset>
            </wp:positionH>
            <wp:positionV relativeFrom="paragraph">
              <wp:posOffset>1243330</wp:posOffset>
            </wp:positionV>
            <wp:extent cx="2682000" cy="2008800"/>
            <wp:effectExtent l="0" t="0" r="0" b="0"/>
            <wp:wrapSquare wrapText="bothSides"/>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102" w:rsidRPr="00DC63F0">
        <w:rPr>
          <w:noProof/>
        </w:rPr>
        <w:drawing>
          <wp:anchor distT="0" distB="0" distL="114300" distR="114300" simplePos="0" relativeHeight="251748352" behindDoc="0" locked="0" layoutInCell="1" allowOverlap="1" wp14:anchorId="4D1E8D97" wp14:editId="6DDBE5FE">
            <wp:simplePos x="0" y="0"/>
            <wp:positionH relativeFrom="column">
              <wp:posOffset>2800985</wp:posOffset>
            </wp:positionH>
            <wp:positionV relativeFrom="paragraph">
              <wp:posOffset>1242377</wp:posOffset>
            </wp:positionV>
            <wp:extent cx="2682000" cy="2008800"/>
            <wp:effectExtent l="0" t="0" r="0" b="0"/>
            <wp:wrapSquare wrapText="bothSides"/>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7F">
        <w:rPr>
          <w:rFonts w:hint="eastAsia"/>
        </w:rPr>
        <w:t>国内和</w:t>
      </w:r>
      <w:r w:rsidR="00BC3079">
        <w:rPr>
          <w:rFonts w:hint="eastAsia"/>
        </w:rPr>
        <w:t>国际</w:t>
      </w:r>
      <w:r w:rsidR="00333C7F">
        <w:rPr>
          <w:rFonts w:hint="eastAsia"/>
        </w:rPr>
        <w:t>投资者关注度都会使</w:t>
      </w:r>
      <w:r w:rsidR="00333C7F">
        <w:rPr>
          <w:rFonts w:hint="eastAsia"/>
        </w:rPr>
        <w:t>C</w:t>
      </w:r>
      <w:r w:rsidR="00333C7F">
        <w:t>NY-CNH</w:t>
      </w:r>
      <w:r w:rsidR="00333C7F">
        <w:rPr>
          <w:rFonts w:hint="eastAsia"/>
        </w:rPr>
        <w:t>价差波动增大。</w:t>
      </w:r>
    </w:p>
    <w:p w14:paraId="023FFFA0" w14:textId="77777777" w:rsidR="007E4102" w:rsidRDefault="007E4102" w:rsidP="00FF3990">
      <w:pPr>
        <w:adjustRightInd w:val="0"/>
        <w:snapToGrid w:val="0"/>
        <w:spacing w:line="240" w:lineRule="auto"/>
        <w:ind w:firstLine="420"/>
        <w:jc w:val="center"/>
      </w:pPr>
    </w:p>
    <w:p w14:paraId="2ED3E697" w14:textId="28132A06" w:rsidR="002512D8" w:rsidRDefault="00424DD2" w:rsidP="007E4102">
      <w:pPr>
        <w:ind w:firstLineChars="0" w:firstLine="0"/>
        <w:jc w:val="center"/>
      </w:pPr>
      <w:r>
        <w:rPr>
          <w:rFonts w:hint="eastAsia"/>
        </w:rPr>
        <w:t>图</w:t>
      </w:r>
      <w:r w:rsidR="00DC63F0">
        <w:t>6</w:t>
      </w:r>
      <w:r>
        <w:rPr>
          <w:rFonts w:hint="eastAsia"/>
        </w:rPr>
        <w:t xml:space="preserve"> </w:t>
      </w:r>
      <w:r>
        <w:rPr>
          <w:rFonts w:hint="eastAsia"/>
        </w:rPr>
        <w:t>人民币兑美元汇率中间价机制改革</w:t>
      </w:r>
      <w:r w:rsidR="00212CA5">
        <w:rPr>
          <w:rFonts w:hint="eastAsia"/>
        </w:rPr>
        <w:t>、人民币国际化进程政策</w:t>
      </w:r>
      <w:r>
        <w:rPr>
          <w:rFonts w:hint="eastAsia"/>
        </w:rPr>
        <w:t>与价差波动分解</w:t>
      </w:r>
    </w:p>
    <w:p w14:paraId="7EFCA0CE" w14:textId="1883DC87" w:rsidR="002512D8" w:rsidRDefault="00700417" w:rsidP="00212CA5">
      <w:pPr>
        <w:ind w:firstLine="420"/>
      </w:pPr>
      <w:r>
        <w:rPr>
          <w:rFonts w:hint="eastAsia"/>
        </w:rPr>
        <w:t>观察图</w:t>
      </w:r>
      <w:r w:rsidR="00DC63F0">
        <w:t>6</w:t>
      </w:r>
      <w:r w:rsidR="007F06BA">
        <w:rPr>
          <w:rFonts w:hint="eastAsia"/>
        </w:rPr>
        <w:t>左图</w:t>
      </w:r>
      <w:r>
        <w:rPr>
          <w:rFonts w:hint="eastAsia"/>
        </w:rPr>
        <w:t>可知在</w:t>
      </w:r>
      <w:r>
        <w:rPr>
          <w:rFonts w:hint="eastAsia"/>
        </w:rPr>
        <w:t>2015</w:t>
      </w:r>
      <w:r>
        <w:rPr>
          <w:rFonts w:hint="eastAsia"/>
        </w:rPr>
        <w:t>、</w:t>
      </w:r>
      <w:r>
        <w:rPr>
          <w:rFonts w:hint="eastAsia"/>
        </w:rPr>
        <w:t>2018</w:t>
      </w:r>
      <w:r>
        <w:rPr>
          <w:rFonts w:hint="eastAsia"/>
        </w:rPr>
        <w:t>、</w:t>
      </w:r>
      <w:r>
        <w:rPr>
          <w:rFonts w:hint="eastAsia"/>
        </w:rPr>
        <w:t>2020</w:t>
      </w:r>
      <w:r>
        <w:rPr>
          <w:rFonts w:hint="eastAsia"/>
        </w:rPr>
        <w:t>年政策实施后，由政策实施引起的</w:t>
      </w:r>
      <w:r>
        <w:rPr>
          <w:rFonts w:hint="eastAsia"/>
        </w:rPr>
        <w:t>CNY-CNH</w:t>
      </w:r>
      <w:r>
        <w:rPr>
          <w:rFonts w:hint="eastAsia"/>
        </w:rPr>
        <w:t>价差长期波动率在此时间段附近有小幅增大变化。</w:t>
      </w:r>
      <w:r w:rsidR="00424DD2">
        <w:rPr>
          <w:rFonts w:hint="eastAsia"/>
        </w:rPr>
        <w:t>观察图</w:t>
      </w:r>
      <w:r w:rsidR="008E2E7A">
        <w:t>6</w:t>
      </w:r>
      <w:r w:rsidR="007F06BA">
        <w:rPr>
          <w:rFonts w:hint="eastAsia"/>
        </w:rPr>
        <w:t>右图</w:t>
      </w:r>
      <w:r w:rsidR="00424DD2">
        <w:rPr>
          <w:rFonts w:hint="eastAsia"/>
        </w:rPr>
        <w:t>可知</w:t>
      </w:r>
      <w:r w:rsidR="00424DD2">
        <w:rPr>
          <w:rFonts w:hint="eastAsia"/>
        </w:rPr>
        <w:t>2015</w:t>
      </w:r>
      <w:r w:rsidR="00424DD2">
        <w:rPr>
          <w:rFonts w:hint="eastAsia"/>
        </w:rPr>
        <w:t>年、</w:t>
      </w:r>
      <w:r w:rsidR="00424DD2">
        <w:rPr>
          <w:rFonts w:hint="eastAsia"/>
        </w:rPr>
        <w:t>2016</w:t>
      </w:r>
      <w:r w:rsidR="00424DD2">
        <w:rPr>
          <w:rFonts w:hint="eastAsia"/>
        </w:rPr>
        <w:t>年政策实施后，由政策实施引起的</w:t>
      </w:r>
      <w:r w:rsidR="00424DD2">
        <w:rPr>
          <w:rFonts w:hint="eastAsia"/>
        </w:rPr>
        <w:t>CNY-CNH</w:t>
      </w:r>
      <w:r w:rsidR="00424DD2">
        <w:rPr>
          <w:rFonts w:hint="eastAsia"/>
        </w:rPr>
        <w:t>价差长期波动率在此年份附近增大。</w:t>
      </w:r>
      <w:r w:rsidR="00697888">
        <w:rPr>
          <w:rFonts w:hint="eastAsia"/>
        </w:rPr>
        <w:t>本文和严兵的研究结论（</w:t>
      </w:r>
      <w:r w:rsidR="00697888">
        <w:rPr>
          <w:rFonts w:hint="eastAsia"/>
        </w:rPr>
        <w:t>2</w:t>
      </w:r>
      <w:r w:rsidR="00697888">
        <w:t>01</w:t>
      </w:r>
      <w:r w:rsidR="003E588B">
        <w:t>7</w:t>
      </w:r>
      <w:r w:rsidR="003E588B">
        <w:rPr>
          <w:rFonts w:hint="eastAsia"/>
        </w:rPr>
        <w:t>）</w:t>
      </w:r>
      <w:r w:rsidR="00697888">
        <w:rPr>
          <w:rFonts w:hint="eastAsia"/>
        </w:rPr>
        <w:t>一致，</w:t>
      </w:r>
      <w:r w:rsidR="007E4102">
        <w:rPr>
          <w:rFonts w:hint="eastAsia"/>
        </w:rPr>
        <w:t>认为</w:t>
      </w:r>
      <w:r w:rsidR="00697888">
        <w:rPr>
          <w:rFonts w:hint="eastAsia"/>
        </w:rPr>
        <w:t>在岸汇率中间价形成机制改革增加了</w:t>
      </w:r>
      <w:r w:rsidR="00B94614">
        <w:rPr>
          <w:rFonts w:hint="eastAsia"/>
        </w:rPr>
        <w:t>C</w:t>
      </w:r>
      <w:r w:rsidR="00B94614">
        <w:t>NY-CNH</w:t>
      </w:r>
      <w:r w:rsidR="00B94614">
        <w:rPr>
          <w:rFonts w:hint="eastAsia"/>
        </w:rPr>
        <w:t>价差波动幅度</w:t>
      </w:r>
      <w:r w:rsidR="00A22FB4">
        <w:rPr>
          <w:rFonts w:hint="eastAsia"/>
        </w:rPr>
        <w:t>，人民币加入</w:t>
      </w:r>
      <w:r w:rsidR="00A22FB4">
        <w:rPr>
          <w:rFonts w:hint="eastAsia"/>
        </w:rPr>
        <w:t>S</w:t>
      </w:r>
      <w:r w:rsidR="00A22FB4">
        <w:t>DR</w:t>
      </w:r>
      <w:r w:rsidR="00A22FB4">
        <w:rPr>
          <w:rFonts w:hint="eastAsia"/>
        </w:rPr>
        <w:t>货币篮子加剧了</w:t>
      </w:r>
      <w:r w:rsidR="00A22FB4">
        <w:rPr>
          <w:rFonts w:hint="eastAsia"/>
        </w:rPr>
        <w:t>C</w:t>
      </w:r>
      <w:r w:rsidR="00A22FB4">
        <w:t>NY-CNH</w:t>
      </w:r>
      <w:r w:rsidR="00A22FB4">
        <w:rPr>
          <w:rFonts w:hint="eastAsia"/>
        </w:rPr>
        <w:t>价差波动。</w:t>
      </w:r>
      <w:r w:rsidR="007E4102">
        <w:rPr>
          <w:rFonts w:hint="eastAsia"/>
        </w:rPr>
        <w:t>这可能的原因是</w:t>
      </w:r>
      <w:r w:rsidR="00B94614">
        <w:rPr>
          <w:rFonts w:hint="eastAsia"/>
        </w:rPr>
        <w:t>改革中间价形成机制使得在岸外汇市场更加市场化，这有利于促进两个市场一体化。</w:t>
      </w:r>
      <w:r w:rsidR="00C6422E">
        <w:rPr>
          <w:rFonts w:hint="eastAsia"/>
        </w:rPr>
        <w:t>阮青松等人（</w:t>
      </w:r>
      <w:r w:rsidR="00C6422E">
        <w:rPr>
          <w:rFonts w:hint="eastAsia"/>
        </w:rPr>
        <w:t>2</w:t>
      </w:r>
      <w:r w:rsidR="00C6422E">
        <w:t>017</w:t>
      </w:r>
      <w:r w:rsidR="00C6422E">
        <w:rPr>
          <w:rFonts w:hint="eastAsia"/>
        </w:rPr>
        <w:t>）</w:t>
      </w:r>
      <w:r w:rsidR="00C6422E">
        <w:rPr>
          <w:rFonts w:hint="eastAsia"/>
          <w:vertAlign w:val="superscript"/>
        </w:rPr>
        <w:t>[</w:t>
      </w:r>
      <w:r w:rsidR="00C6422E">
        <w:rPr>
          <w:vertAlign w:val="superscript"/>
        </w:rPr>
        <w:t>14]</w:t>
      </w:r>
      <w:r w:rsidR="00C6422E">
        <w:rPr>
          <w:rFonts w:hint="eastAsia"/>
        </w:rPr>
        <w:t>也认为在岸离岸市场分割程度越低，越有利于缩小汇差；国际经济整体环境越好，投机性行为越少，越有利于缩小汇差。</w:t>
      </w:r>
    </w:p>
    <w:p w14:paraId="3CB1FF1D" w14:textId="4F720AF2" w:rsidR="002512D8" w:rsidRDefault="00424DD2" w:rsidP="001A410F">
      <w:pPr>
        <w:pStyle w:val="1"/>
      </w:pPr>
      <w:r>
        <w:rPr>
          <w:rFonts w:hint="eastAsia"/>
        </w:rPr>
        <w:t>五</w:t>
      </w:r>
      <w:r w:rsidR="004C77E9">
        <w:rPr>
          <w:rFonts w:hint="eastAsia"/>
        </w:rPr>
        <w:t>、</w:t>
      </w:r>
      <w:r>
        <w:rPr>
          <w:rFonts w:hint="eastAsia"/>
        </w:rPr>
        <w:t>结论及政策建议</w:t>
      </w:r>
    </w:p>
    <w:p w14:paraId="217C1DD2" w14:textId="4F0D9450" w:rsidR="00363E4C" w:rsidRPr="00750D86" w:rsidRDefault="00AD3EF6" w:rsidP="001A410F">
      <w:pPr>
        <w:pStyle w:val="2"/>
      </w:pPr>
      <w:r>
        <w:rPr>
          <w:rFonts w:hint="eastAsia"/>
        </w:rPr>
        <w:t>（一）</w:t>
      </w:r>
      <w:r w:rsidR="00C80F1E" w:rsidRPr="00750D86">
        <w:rPr>
          <w:rFonts w:hint="eastAsia"/>
        </w:rPr>
        <w:t>研究</w:t>
      </w:r>
      <w:r w:rsidR="00363E4C" w:rsidRPr="00750D86">
        <w:rPr>
          <w:rFonts w:hint="eastAsia"/>
        </w:rPr>
        <w:t>结论</w:t>
      </w:r>
    </w:p>
    <w:p w14:paraId="1394D42E" w14:textId="3E68A191" w:rsidR="002512D8" w:rsidRDefault="00424DD2">
      <w:pPr>
        <w:ind w:firstLine="420"/>
      </w:pPr>
      <w:r>
        <w:rPr>
          <w:rFonts w:hint="eastAsia"/>
        </w:rPr>
        <w:t>本文</w:t>
      </w:r>
      <w:r w:rsidR="00C80F1E">
        <w:rPr>
          <w:rFonts w:hint="eastAsia"/>
        </w:rPr>
        <w:t>通过构建</w:t>
      </w:r>
      <w:r>
        <w:rPr>
          <w:rFonts w:hint="eastAsia"/>
        </w:rPr>
        <w:t>GARCH-MIDAS</w:t>
      </w:r>
      <w:r>
        <w:rPr>
          <w:rFonts w:hint="eastAsia"/>
        </w:rPr>
        <w:t>模型实证分析了基本面变量、</w:t>
      </w:r>
      <w:r w:rsidR="00E11734">
        <w:rPr>
          <w:rFonts w:hint="eastAsia"/>
        </w:rPr>
        <w:t>政治经济</w:t>
      </w:r>
      <w:r>
        <w:rPr>
          <w:rFonts w:hint="eastAsia"/>
        </w:rPr>
        <w:t>环境变量</w:t>
      </w:r>
      <w:r w:rsidR="00E11734">
        <w:rPr>
          <w:rFonts w:hint="eastAsia"/>
        </w:rPr>
        <w:t>、投资者关注度</w:t>
      </w:r>
      <w:r>
        <w:rPr>
          <w:rFonts w:hint="eastAsia"/>
        </w:rPr>
        <w:t>和政策变量对</w:t>
      </w:r>
      <w:r>
        <w:rPr>
          <w:rFonts w:hint="eastAsia"/>
        </w:rPr>
        <w:t>CNY-CNH</w:t>
      </w:r>
      <w:r>
        <w:rPr>
          <w:rFonts w:hint="eastAsia"/>
        </w:rPr>
        <w:t>价差波动的影响，研究结论如下：</w:t>
      </w:r>
    </w:p>
    <w:p w14:paraId="589D279B" w14:textId="7D3E7D39" w:rsidR="00B450BF" w:rsidRDefault="00F61809" w:rsidP="00B450BF">
      <w:pPr>
        <w:numPr>
          <w:ilvl w:val="0"/>
          <w:numId w:val="1"/>
        </w:numPr>
        <w:ind w:firstLine="420"/>
      </w:pPr>
      <w:r>
        <w:rPr>
          <w:rFonts w:hint="eastAsia"/>
        </w:rPr>
        <w:t>基本面变量如中美利差对</w:t>
      </w:r>
      <w:r>
        <w:rPr>
          <w:rFonts w:hint="eastAsia"/>
        </w:rPr>
        <w:t>C</w:t>
      </w:r>
      <w:r>
        <w:t>NY-CNH</w:t>
      </w:r>
      <w:r>
        <w:rPr>
          <w:rFonts w:hint="eastAsia"/>
        </w:rPr>
        <w:t>价差波动产生负向影响。</w:t>
      </w:r>
      <w:r w:rsidR="0049125A" w:rsidRPr="0049125A">
        <w:rPr>
          <w:rFonts w:hint="eastAsia"/>
        </w:rPr>
        <w:t>中美利差</w:t>
      </w:r>
      <w:r w:rsidR="00E11734">
        <w:rPr>
          <w:rFonts w:hint="eastAsia"/>
        </w:rPr>
        <w:t>增大而</w:t>
      </w:r>
      <w:r w:rsidR="0049125A" w:rsidRPr="0049125A">
        <w:rPr>
          <w:rFonts w:hint="eastAsia"/>
        </w:rPr>
        <w:t>CNY-CNH</w:t>
      </w:r>
      <w:r w:rsidR="0049125A" w:rsidRPr="0049125A">
        <w:rPr>
          <w:rFonts w:hint="eastAsia"/>
        </w:rPr>
        <w:t>价差的长期波动</w:t>
      </w:r>
      <w:r w:rsidR="00E11734">
        <w:rPr>
          <w:rFonts w:hint="eastAsia"/>
        </w:rPr>
        <w:t>降低</w:t>
      </w:r>
      <w:r w:rsidR="0049125A" w:rsidRPr="0049125A">
        <w:rPr>
          <w:rFonts w:hint="eastAsia"/>
        </w:rPr>
        <w:t>，可能的原因是从长期来看，中国央行结构性货币政策操作是在货币总量稳健中性的同时，优化流动性的投向和结构，有针对性地解决经济运行中的突出问题。</w:t>
      </w:r>
      <w:r w:rsidR="0049125A">
        <w:rPr>
          <w:rFonts w:hint="eastAsia"/>
        </w:rPr>
        <w:t>当中美利差增大时，</w:t>
      </w:r>
      <w:r w:rsidR="0049125A" w:rsidRPr="0049125A">
        <w:rPr>
          <w:rFonts w:hint="eastAsia"/>
        </w:rPr>
        <w:t>央行</w:t>
      </w:r>
      <w:r w:rsidR="0049125A">
        <w:rPr>
          <w:rFonts w:hint="eastAsia"/>
        </w:rPr>
        <w:t>可能</w:t>
      </w:r>
      <w:r w:rsidR="0049125A" w:rsidRPr="0049125A">
        <w:rPr>
          <w:rFonts w:hint="eastAsia"/>
        </w:rPr>
        <w:t>会对外汇市场做出适当的干预调控汇率，而投资者也</w:t>
      </w:r>
      <w:r w:rsidR="0049125A" w:rsidRPr="0049125A">
        <w:rPr>
          <w:rFonts w:hint="eastAsia"/>
        </w:rPr>
        <w:lastRenderedPageBreak/>
        <w:t>不轻举妄动，做出买入或卖出的决策</w:t>
      </w:r>
      <w:r w:rsidR="00B450BF">
        <w:rPr>
          <w:rFonts w:hint="eastAsia"/>
        </w:rPr>
        <w:t>。</w:t>
      </w:r>
      <w:r w:rsidR="00424DD2">
        <w:rPr>
          <w:rFonts w:hint="eastAsia"/>
        </w:rPr>
        <w:t>基本面变量如人民币贬值预期</w:t>
      </w:r>
      <w:r w:rsidR="00B450BF">
        <w:rPr>
          <w:rFonts w:hint="eastAsia"/>
        </w:rPr>
        <w:t>对</w:t>
      </w:r>
      <w:r w:rsidR="00B450BF">
        <w:rPr>
          <w:rFonts w:hint="eastAsia"/>
        </w:rPr>
        <w:t>C</w:t>
      </w:r>
      <w:r w:rsidR="00B450BF">
        <w:t>NY-CNH</w:t>
      </w:r>
      <w:r w:rsidR="00B450BF">
        <w:rPr>
          <w:rFonts w:hint="eastAsia"/>
        </w:rPr>
        <w:t>价差波动产生正向影响。</w:t>
      </w:r>
      <w:r w:rsidR="00B450BF" w:rsidRPr="00B450BF">
        <w:rPr>
          <w:rFonts w:hint="eastAsia"/>
        </w:rPr>
        <w:t>当人民币贬值预期增大时，离岸人民币汇率贬值速度快于在岸人民币汇率，在岸与离岸负向汇差扩大，</w:t>
      </w:r>
      <w:r w:rsidR="00B450BF" w:rsidRPr="00B450BF">
        <w:rPr>
          <w:rFonts w:hint="eastAsia"/>
        </w:rPr>
        <w:t>CNY-CNH</w:t>
      </w:r>
      <w:r w:rsidR="00B450BF" w:rsidRPr="00B450BF">
        <w:rPr>
          <w:rFonts w:hint="eastAsia"/>
        </w:rPr>
        <w:t>价差波动增大。因此，人民币贬值预期增大会导致</w:t>
      </w:r>
      <w:r w:rsidR="00B450BF" w:rsidRPr="00B450BF">
        <w:rPr>
          <w:rFonts w:hint="eastAsia"/>
        </w:rPr>
        <w:t>CNY-CNH</w:t>
      </w:r>
      <w:r w:rsidR="00B450BF" w:rsidRPr="00B450BF">
        <w:rPr>
          <w:rFonts w:hint="eastAsia"/>
        </w:rPr>
        <w:t>价差波动增大。</w:t>
      </w:r>
    </w:p>
    <w:p w14:paraId="3AA37666" w14:textId="52841C5A" w:rsidR="005B3603" w:rsidRDefault="00E11734" w:rsidP="00B450BF">
      <w:pPr>
        <w:numPr>
          <w:ilvl w:val="0"/>
          <w:numId w:val="1"/>
        </w:numPr>
        <w:ind w:firstLine="420"/>
      </w:pPr>
      <w:r>
        <w:rPr>
          <w:rFonts w:hint="eastAsia"/>
        </w:rPr>
        <w:t>政治经济</w:t>
      </w:r>
      <w:r w:rsidR="00424DD2">
        <w:rPr>
          <w:rFonts w:hint="eastAsia"/>
        </w:rPr>
        <w:t>环境变量如经济政策不确定性、地缘政治风险</w:t>
      </w:r>
      <w:r>
        <w:rPr>
          <w:rFonts w:hint="eastAsia"/>
        </w:rPr>
        <w:t>；</w:t>
      </w:r>
      <w:r w:rsidR="00424DD2">
        <w:rPr>
          <w:rFonts w:hint="eastAsia"/>
        </w:rPr>
        <w:t>国内</w:t>
      </w:r>
      <w:r w:rsidR="004229EB">
        <w:rPr>
          <w:rFonts w:hint="eastAsia"/>
        </w:rPr>
        <w:t>投资者关注度</w:t>
      </w:r>
      <w:r w:rsidR="00424DD2">
        <w:rPr>
          <w:rFonts w:hint="eastAsia"/>
        </w:rPr>
        <w:t>和</w:t>
      </w:r>
      <w:r w:rsidR="004229EB">
        <w:rPr>
          <w:rFonts w:hint="eastAsia"/>
        </w:rPr>
        <w:t>国际</w:t>
      </w:r>
      <w:r w:rsidR="00424DD2">
        <w:rPr>
          <w:rFonts w:hint="eastAsia"/>
        </w:rPr>
        <w:t>投资者关注度</w:t>
      </w:r>
      <w:r w:rsidR="006972C6">
        <w:rPr>
          <w:rFonts w:hint="eastAsia"/>
        </w:rPr>
        <w:t>；</w:t>
      </w:r>
      <w:r w:rsidR="00424DD2">
        <w:rPr>
          <w:rFonts w:hint="eastAsia"/>
        </w:rPr>
        <w:t>政策变量如人民币兑美元汇率中间价机制改革、人民币国际化进程会对</w:t>
      </w:r>
      <w:r w:rsidR="00424DD2">
        <w:rPr>
          <w:rFonts w:hint="eastAsia"/>
        </w:rPr>
        <w:t>CNY-CNH</w:t>
      </w:r>
      <w:r w:rsidR="00424DD2">
        <w:rPr>
          <w:rFonts w:hint="eastAsia"/>
        </w:rPr>
        <w:t>价差波动产生正向影响。</w:t>
      </w:r>
      <w:r w:rsidR="006972C6">
        <w:rPr>
          <w:rFonts w:hint="eastAsia"/>
        </w:rPr>
        <w:t>这是因为</w:t>
      </w:r>
      <w:r>
        <w:rPr>
          <w:rFonts w:hint="eastAsia"/>
        </w:rPr>
        <w:t>政治经济</w:t>
      </w:r>
      <w:r w:rsidR="006972C6" w:rsidRPr="006972C6">
        <w:rPr>
          <w:rFonts w:hint="eastAsia"/>
        </w:rPr>
        <w:t>环境的不确定因素和政府的</w:t>
      </w:r>
      <w:r w:rsidR="00960744">
        <w:rPr>
          <w:rFonts w:hint="eastAsia"/>
        </w:rPr>
        <w:t>相关</w:t>
      </w:r>
      <w:r w:rsidR="006972C6" w:rsidRPr="006972C6">
        <w:rPr>
          <w:rFonts w:hint="eastAsia"/>
        </w:rPr>
        <w:t>政策作用于</w:t>
      </w:r>
      <w:r w:rsidR="00960744">
        <w:rPr>
          <w:rFonts w:hint="eastAsia"/>
        </w:rPr>
        <w:t>市场</w:t>
      </w:r>
      <w:r w:rsidR="006972C6" w:rsidRPr="006972C6">
        <w:rPr>
          <w:rFonts w:hint="eastAsia"/>
        </w:rPr>
        <w:t>时，相较于在岸人民币市场而言，离岸人民币市场更容易受到影响。</w:t>
      </w:r>
      <w:r w:rsidR="005A7D7E">
        <w:rPr>
          <w:rFonts w:hint="eastAsia"/>
        </w:rPr>
        <w:t>因此，经济政策不确定性、地缘政治风险、国内和国际投资者关注度、人民币兑美元汇率中间价机制改革以及人民币国际化进程会正向影响</w:t>
      </w:r>
      <w:r w:rsidR="005A7D7E">
        <w:rPr>
          <w:rFonts w:hint="eastAsia"/>
        </w:rPr>
        <w:t>C</w:t>
      </w:r>
      <w:r w:rsidR="005A7D7E">
        <w:t>NY-CNH</w:t>
      </w:r>
      <w:r w:rsidR="005A7D7E">
        <w:rPr>
          <w:rFonts w:hint="eastAsia"/>
        </w:rPr>
        <w:t>价差的波动。此外，</w:t>
      </w:r>
      <w:r w:rsidR="005A7D7E" w:rsidRPr="005A7D7E">
        <w:rPr>
          <w:rFonts w:hint="eastAsia"/>
        </w:rPr>
        <w:t>中间价形成机制</w:t>
      </w:r>
      <w:r w:rsidR="005A7D7E">
        <w:rPr>
          <w:rFonts w:hint="eastAsia"/>
        </w:rPr>
        <w:t>改革</w:t>
      </w:r>
      <w:r w:rsidR="005A7D7E" w:rsidRPr="005A7D7E">
        <w:rPr>
          <w:rFonts w:hint="eastAsia"/>
        </w:rPr>
        <w:t>使得在岸外汇市场更加市场化，这有利于促进</w:t>
      </w:r>
      <w:r w:rsidR="005A7D7E">
        <w:rPr>
          <w:rFonts w:hint="eastAsia"/>
        </w:rPr>
        <w:t>在离岸</w:t>
      </w:r>
      <w:r w:rsidR="005A7D7E" w:rsidRPr="005A7D7E">
        <w:rPr>
          <w:rFonts w:hint="eastAsia"/>
        </w:rPr>
        <w:t>两个市场一体化。</w:t>
      </w:r>
    </w:p>
    <w:p w14:paraId="78E111CB" w14:textId="66DEE0D5" w:rsidR="00363E4C" w:rsidRPr="00750D86" w:rsidRDefault="00AD3EF6" w:rsidP="001A410F">
      <w:pPr>
        <w:pStyle w:val="2"/>
      </w:pPr>
      <w:r>
        <w:rPr>
          <w:rFonts w:hint="eastAsia"/>
        </w:rPr>
        <w:t>（二）</w:t>
      </w:r>
      <w:r w:rsidR="00363E4C" w:rsidRPr="00750D86">
        <w:rPr>
          <w:rFonts w:hint="eastAsia"/>
        </w:rPr>
        <w:t>政策建议</w:t>
      </w:r>
    </w:p>
    <w:p w14:paraId="324D9A98" w14:textId="77777777" w:rsidR="00363E4C" w:rsidRDefault="00424DD2" w:rsidP="00DF2809">
      <w:pPr>
        <w:ind w:firstLine="420"/>
      </w:pPr>
      <w:r>
        <w:rPr>
          <w:rFonts w:hint="eastAsia"/>
        </w:rPr>
        <w:t>为了降低</w:t>
      </w:r>
      <w:r>
        <w:rPr>
          <w:rFonts w:hint="eastAsia"/>
        </w:rPr>
        <w:t>CNY-CNH</w:t>
      </w:r>
      <w:r>
        <w:rPr>
          <w:rFonts w:hint="eastAsia"/>
        </w:rPr>
        <w:t>价差波动，</w:t>
      </w:r>
      <w:r>
        <w:rPr>
          <w:bCs/>
        </w:rPr>
        <w:t>确保人民币汇率双向波动</w:t>
      </w:r>
      <w:r>
        <w:rPr>
          <w:rFonts w:hint="eastAsia"/>
        </w:rPr>
        <w:t>，维持外汇市场的稳定，本文基于研究结果提出以下政策建议：</w:t>
      </w:r>
    </w:p>
    <w:p w14:paraId="0432865E" w14:textId="77777777" w:rsidR="009013B6" w:rsidRDefault="00F249A5" w:rsidP="008E2E7A">
      <w:pPr>
        <w:ind w:firstLine="420"/>
      </w:pPr>
      <w:r>
        <w:rPr>
          <w:rFonts w:hint="eastAsia"/>
        </w:rPr>
        <w:t>第一，在当今经济政策不确定性、地缘政治风险冲击现存秩序的背景下，应努力改善外部环境，</w:t>
      </w:r>
      <w:r w:rsidR="007A501F">
        <w:rPr>
          <w:rFonts w:hint="eastAsia"/>
        </w:rPr>
        <w:t>综合</w:t>
      </w:r>
      <w:r w:rsidR="000B5CF0">
        <w:rPr>
          <w:rFonts w:hint="eastAsia"/>
        </w:rPr>
        <w:t>考虑</w:t>
      </w:r>
      <w:r w:rsidR="007A501F">
        <w:rPr>
          <w:rFonts w:hint="eastAsia"/>
        </w:rPr>
        <w:t>国际政治经济形势，</w:t>
      </w:r>
      <w:r w:rsidR="005864E1">
        <w:rPr>
          <w:rFonts w:hint="eastAsia"/>
        </w:rPr>
        <w:t>采取针对性措施缓和地缘合作氛围和经济政策不确定性的影响，促进多方协作的互利共赢。</w:t>
      </w:r>
    </w:p>
    <w:p w14:paraId="7E523DAF" w14:textId="1DE513BF" w:rsidR="009013B6" w:rsidRDefault="005864E1" w:rsidP="008E2E7A">
      <w:pPr>
        <w:ind w:firstLine="420"/>
      </w:pPr>
      <w:r>
        <w:rPr>
          <w:rFonts w:hint="eastAsia"/>
        </w:rPr>
        <w:t>第二</w:t>
      </w:r>
      <w:r w:rsidR="00E03E06">
        <w:rPr>
          <w:rFonts w:hint="eastAsia"/>
        </w:rPr>
        <w:t>，需要对国内和</w:t>
      </w:r>
      <w:r w:rsidR="009013B6">
        <w:rPr>
          <w:rFonts w:hint="eastAsia"/>
        </w:rPr>
        <w:t>国际</w:t>
      </w:r>
      <w:r w:rsidR="00E03E06">
        <w:rPr>
          <w:rFonts w:hint="eastAsia"/>
        </w:rPr>
        <w:t>投资者关注带来的冲击加以重视，</w:t>
      </w:r>
      <w:r w:rsidR="002627C5" w:rsidRPr="002627C5">
        <w:rPr>
          <w:rFonts w:hint="eastAsia"/>
        </w:rPr>
        <w:t>央行可以分别构建国内和</w:t>
      </w:r>
      <w:r w:rsidR="009013B6">
        <w:rPr>
          <w:rFonts w:hint="eastAsia"/>
        </w:rPr>
        <w:t>国际</w:t>
      </w:r>
      <w:r w:rsidR="002627C5" w:rsidRPr="002627C5">
        <w:rPr>
          <w:rFonts w:hint="eastAsia"/>
        </w:rPr>
        <w:t>投资者关注度指数，</w:t>
      </w:r>
      <w:r w:rsidR="002627C5">
        <w:rPr>
          <w:rFonts w:hint="eastAsia"/>
        </w:rPr>
        <w:t>并根据国内外指数</w:t>
      </w:r>
      <w:r w:rsidR="00E03E06">
        <w:rPr>
          <w:rFonts w:hint="eastAsia"/>
        </w:rPr>
        <w:t>缓解情绪过热</w:t>
      </w:r>
      <w:r w:rsidR="002627C5">
        <w:rPr>
          <w:rFonts w:hint="eastAsia"/>
        </w:rPr>
        <w:t>从而适当影响投资者关注度，</w:t>
      </w:r>
      <w:r w:rsidR="009A645E">
        <w:rPr>
          <w:rFonts w:hint="eastAsia"/>
        </w:rPr>
        <w:t>以便</w:t>
      </w:r>
      <w:r w:rsidR="002627C5">
        <w:rPr>
          <w:rFonts w:hint="eastAsia"/>
        </w:rPr>
        <w:t>采取相应措施</w:t>
      </w:r>
      <w:r w:rsidR="007E2036">
        <w:rPr>
          <w:rFonts w:hint="eastAsia"/>
        </w:rPr>
        <w:t>降低</w:t>
      </w:r>
      <w:r w:rsidR="002627C5">
        <w:rPr>
          <w:rFonts w:hint="eastAsia"/>
        </w:rPr>
        <w:t>C</w:t>
      </w:r>
      <w:r w:rsidR="002627C5">
        <w:t>NY-CNH</w:t>
      </w:r>
      <w:r w:rsidR="002627C5">
        <w:rPr>
          <w:rFonts w:hint="eastAsia"/>
        </w:rPr>
        <w:t>价差</w:t>
      </w:r>
      <w:r w:rsidR="009A6148">
        <w:rPr>
          <w:rFonts w:hint="eastAsia"/>
        </w:rPr>
        <w:t>波动</w:t>
      </w:r>
      <w:r w:rsidR="00E03E06">
        <w:rPr>
          <w:rFonts w:hint="eastAsia"/>
        </w:rPr>
        <w:t>。</w:t>
      </w:r>
    </w:p>
    <w:p w14:paraId="337E1DD6" w14:textId="26F16087" w:rsidR="009013B6" w:rsidRDefault="00E03E06" w:rsidP="008E2E7A">
      <w:pPr>
        <w:ind w:firstLine="420"/>
      </w:pPr>
      <w:r>
        <w:rPr>
          <w:rFonts w:hint="eastAsia"/>
        </w:rPr>
        <w:t>第三</w:t>
      </w:r>
      <w:r w:rsidR="00DF2809">
        <w:rPr>
          <w:rFonts w:hint="eastAsia"/>
        </w:rPr>
        <w:t>，应不断完善汇率调控方式，合理引导外汇市场预期，对在</w:t>
      </w:r>
      <w:r w:rsidR="00A46A7F">
        <w:rPr>
          <w:rFonts w:hint="eastAsia"/>
        </w:rPr>
        <w:t>离</w:t>
      </w:r>
      <w:r w:rsidR="00DF2809">
        <w:rPr>
          <w:rFonts w:hint="eastAsia"/>
        </w:rPr>
        <w:t>岸价差进行宏观审慎调节</w:t>
      </w:r>
      <w:r w:rsidR="005C21B1">
        <w:rPr>
          <w:rFonts w:hint="eastAsia"/>
        </w:rPr>
        <w:t>。</w:t>
      </w:r>
      <w:r w:rsidR="00A46A7F" w:rsidRPr="00A46A7F">
        <w:rPr>
          <w:rFonts w:hint="eastAsia"/>
        </w:rPr>
        <w:t>人民币兑美元汇率中间价机制改革首先要从本国人民利益出发，同时要开阔视野放眼全球。</w:t>
      </w:r>
      <w:r w:rsidR="00151F74">
        <w:rPr>
          <w:rFonts w:hint="eastAsia"/>
        </w:rPr>
        <w:t>人民币兑美元</w:t>
      </w:r>
      <w:r w:rsidR="00A46A7F" w:rsidRPr="00A46A7F">
        <w:rPr>
          <w:rFonts w:hint="eastAsia"/>
        </w:rPr>
        <w:t>汇率的改变会影响中国对美国的经济利益，而且会对人民的利益，国家的安定产生相应的影响。可见在改革制度时应从大局出发，综合多方因素，切记操之过急而让汇率波动骤增，为中国的经济及发展创造稳定良好的国内国际环境</w:t>
      </w:r>
      <w:r w:rsidR="00893B06">
        <w:rPr>
          <w:rFonts w:hint="eastAsia"/>
        </w:rPr>
        <w:t>（邢雅菲，</w:t>
      </w:r>
      <w:r w:rsidR="00893B06">
        <w:rPr>
          <w:rFonts w:hint="eastAsia"/>
        </w:rPr>
        <w:t>2</w:t>
      </w:r>
      <w:r w:rsidR="00893B06">
        <w:t>017</w:t>
      </w:r>
      <w:r w:rsidR="00893B06">
        <w:rPr>
          <w:rFonts w:hint="eastAsia"/>
        </w:rPr>
        <w:t>）</w:t>
      </w:r>
      <w:r w:rsidR="00893B06">
        <w:rPr>
          <w:rFonts w:hint="eastAsia"/>
          <w:vertAlign w:val="superscript"/>
        </w:rPr>
        <w:t>[</w:t>
      </w:r>
      <w:r w:rsidR="00893B06">
        <w:rPr>
          <w:vertAlign w:val="superscript"/>
        </w:rPr>
        <w:t>1</w:t>
      </w:r>
      <w:r w:rsidR="003B6258">
        <w:rPr>
          <w:vertAlign w:val="superscript"/>
        </w:rPr>
        <w:t>5</w:t>
      </w:r>
      <w:r w:rsidR="00893B06">
        <w:rPr>
          <w:vertAlign w:val="superscript"/>
        </w:rPr>
        <w:t>]</w:t>
      </w:r>
      <w:r w:rsidR="00A46A7F" w:rsidRPr="00A46A7F">
        <w:rPr>
          <w:rFonts w:hint="eastAsia"/>
        </w:rPr>
        <w:t>。</w:t>
      </w:r>
    </w:p>
    <w:p w14:paraId="755436BD" w14:textId="341562DA" w:rsidR="002512D8" w:rsidRPr="008E2E7A" w:rsidRDefault="00691799" w:rsidP="008E2E7A">
      <w:pPr>
        <w:ind w:firstLine="420"/>
      </w:pPr>
      <w:r>
        <w:rPr>
          <w:rFonts w:hint="eastAsia"/>
        </w:rPr>
        <w:t>第四，应该扩大外汇市场的开放，</w:t>
      </w:r>
      <w:r w:rsidR="00E9567E">
        <w:rPr>
          <w:rFonts w:hint="eastAsia"/>
        </w:rPr>
        <w:t>适当增加外汇金融衍生品种类</w:t>
      </w:r>
      <w:r w:rsidR="003E5DD8">
        <w:rPr>
          <w:rFonts w:hint="eastAsia"/>
        </w:rPr>
        <w:t>（谭小芬等，</w:t>
      </w:r>
      <w:r w:rsidR="003E5DD8">
        <w:rPr>
          <w:rFonts w:hint="eastAsia"/>
        </w:rPr>
        <w:t>2</w:t>
      </w:r>
      <w:r w:rsidR="003E5DD8">
        <w:t>019</w:t>
      </w:r>
      <w:r w:rsidR="003E5DD8">
        <w:rPr>
          <w:rFonts w:hint="eastAsia"/>
        </w:rPr>
        <w:t>）</w:t>
      </w:r>
      <w:r w:rsidR="003E5DD8">
        <w:rPr>
          <w:rFonts w:hint="eastAsia"/>
          <w:vertAlign w:val="superscript"/>
        </w:rPr>
        <w:t>[</w:t>
      </w:r>
      <w:r w:rsidR="003E5DD8">
        <w:rPr>
          <w:vertAlign w:val="superscript"/>
        </w:rPr>
        <w:t>1</w:t>
      </w:r>
      <w:r w:rsidR="003B6258">
        <w:rPr>
          <w:vertAlign w:val="superscript"/>
        </w:rPr>
        <w:t>6</w:t>
      </w:r>
      <w:r w:rsidR="003E5DD8">
        <w:rPr>
          <w:vertAlign w:val="superscript"/>
        </w:rPr>
        <w:t>]</w:t>
      </w:r>
      <w:r w:rsidR="00E9567E">
        <w:rPr>
          <w:rFonts w:hint="eastAsia"/>
        </w:rPr>
        <w:t>，丰富境内外汇交易参与者类型，</w:t>
      </w:r>
      <w:r>
        <w:rPr>
          <w:rFonts w:hint="eastAsia"/>
        </w:rPr>
        <w:t>完善有效监管的交易平台，</w:t>
      </w:r>
      <w:r w:rsidR="00E9567E" w:rsidRPr="00E9567E">
        <w:rPr>
          <w:rFonts w:hint="eastAsia"/>
        </w:rPr>
        <w:t>进一步促进人民币国际化进程</w:t>
      </w:r>
      <w:r w:rsidR="00E9567E">
        <w:rPr>
          <w:rFonts w:hint="eastAsia"/>
        </w:rPr>
        <w:t>，</w:t>
      </w:r>
      <w:r w:rsidR="00BF29C7" w:rsidRPr="00BF29C7">
        <w:rPr>
          <w:rFonts w:hint="eastAsia"/>
        </w:rPr>
        <w:t>提高人民币可自由使用程度</w:t>
      </w:r>
      <w:r w:rsidR="00BF29C7">
        <w:rPr>
          <w:rFonts w:hint="eastAsia"/>
        </w:rPr>
        <w:t>，</w:t>
      </w:r>
      <w:r w:rsidRPr="00691799">
        <w:rPr>
          <w:rFonts w:hint="eastAsia"/>
        </w:rPr>
        <w:t>使外汇市场体系日趋完善</w:t>
      </w:r>
      <w:r>
        <w:rPr>
          <w:rFonts w:hint="eastAsia"/>
        </w:rPr>
        <w:t>，</w:t>
      </w:r>
      <w:r w:rsidRPr="00691799">
        <w:rPr>
          <w:rFonts w:hint="eastAsia"/>
        </w:rPr>
        <w:t>从而让市场更好的调配资源，让政府更有效率的监管，最终打稳外汇市场的根基</w:t>
      </w:r>
      <w:r w:rsidR="008E2E7A">
        <w:rPr>
          <w:rFonts w:hint="eastAsia"/>
        </w:rPr>
        <w:t>。</w:t>
      </w:r>
      <w:r w:rsidR="0017568F">
        <w:rPr>
          <w:bCs/>
        </w:rPr>
        <w:br w:type="page"/>
      </w:r>
    </w:p>
    <w:p w14:paraId="683D2B7C" w14:textId="6F721143" w:rsidR="002512D8" w:rsidRPr="000A3CF0" w:rsidRDefault="00424DD2" w:rsidP="00962D83">
      <w:pPr>
        <w:ind w:firstLineChars="0" w:firstLine="0"/>
        <w:jc w:val="left"/>
        <w:rPr>
          <w:rStyle w:val="ad"/>
          <w:b/>
          <w:bCs/>
          <w:i w:val="0"/>
          <w:iCs w:val="0"/>
          <w:sz w:val="28"/>
          <w:szCs w:val="28"/>
        </w:rPr>
      </w:pPr>
      <w:r w:rsidRPr="000A3CF0">
        <w:rPr>
          <w:rStyle w:val="ad"/>
          <w:rFonts w:hint="eastAsia"/>
          <w:b/>
          <w:bCs/>
          <w:i w:val="0"/>
          <w:iCs w:val="0"/>
          <w:sz w:val="28"/>
          <w:szCs w:val="28"/>
        </w:rPr>
        <w:lastRenderedPageBreak/>
        <w:t>参考文献</w:t>
      </w:r>
    </w:p>
    <w:p w14:paraId="309971F3" w14:textId="69905CF9" w:rsidR="00E933B9" w:rsidRPr="00E933B9" w:rsidRDefault="00E933B9" w:rsidP="00E933B9">
      <w:pPr>
        <w:numPr>
          <w:ilvl w:val="0"/>
          <w:numId w:val="2"/>
        </w:numPr>
        <w:ind w:firstLineChars="0" w:firstLine="0"/>
        <w:textAlignment w:val="center"/>
        <w:rPr>
          <w:bCs/>
        </w:rPr>
      </w:pPr>
      <w:r>
        <w:rPr>
          <w:bCs/>
        </w:rPr>
        <w:t>陈丽</w:t>
      </w:r>
      <w:r>
        <w:rPr>
          <w:bCs/>
        </w:rPr>
        <w:t>,</w:t>
      </w:r>
      <w:r>
        <w:rPr>
          <w:bCs/>
        </w:rPr>
        <w:t>甄峰</w:t>
      </w:r>
      <w:r>
        <w:rPr>
          <w:bCs/>
        </w:rPr>
        <w:t>.</w:t>
      </w:r>
      <w:r>
        <w:rPr>
          <w:bCs/>
        </w:rPr>
        <w:t>香港离岸与在岸人民币套汇问题研究</w:t>
      </w:r>
      <w:r>
        <w:rPr>
          <w:bCs/>
        </w:rPr>
        <w:t>[J].</w:t>
      </w:r>
      <w:r>
        <w:rPr>
          <w:bCs/>
        </w:rPr>
        <w:t>国际金融研究</w:t>
      </w:r>
      <w:r>
        <w:rPr>
          <w:bCs/>
        </w:rPr>
        <w:t>,2017(01):89-96.</w:t>
      </w:r>
    </w:p>
    <w:p w14:paraId="24C95477" w14:textId="77777777" w:rsidR="00A463C2" w:rsidRDefault="00A463C2" w:rsidP="00962D83">
      <w:pPr>
        <w:numPr>
          <w:ilvl w:val="0"/>
          <w:numId w:val="2"/>
        </w:numPr>
        <w:ind w:firstLineChars="0" w:firstLine="0"/>
        <w:textAlignment w:val="center"/>
        <w:rPr>
          <w:bCs/>
        </w:rPr>
      </w:pPr>
      <w:r w:rsidRPr="00A463C2">
        <w:rPr>
          <w:bCs/>
        </w:rPr>
        <w:t xml:space="preserve">Da Z, </w:t>
      </w:r>
      <w:proofErr w:type="spellStart"/>
      <w:r w:rsidRPr="00A463C2">
        <w:rPr>
          <w:bCs/>
        </w:rPr>
        <w:t>Engelberg</w:t>
      </w:r>
      <w:proofErr w:type="spellEnd"/>
      <w:r w:rsidRPr="00A463C2">
        <w:rPr>
          <w:bCs/>
        </w:rPr>
        <w:t xml:space="preserve"> J, Gao P. The sum of all FEARS investor sentiment and asset prices[J]. The Review of Financial Studies, 2015, 28(1): 1-32.</w:t>
      </w:r>
    </w:p>
    <w:p w14:paraId="102EB0F9" w14:textId="77777777" w:rsidR="00A463C2" w:rsidRDefault="00A463C2" w:rsidP="00962D83">
      <w:pPr>
        <w:numPr>
          <w:ilvl w:val="0"/>
          <w:numId w:val="2"/>
        </w:numPr>
        <w:ind w:firstLineChars="0" w:firstLine="0"/>
        <w:textAlignment w:val="center"/>
        <w:rPr>
          <w:bCs/>
        </w:rPr>
      </w:pPr>
      <w:r w:rsidRPr="00A463C2">
        <w:rPr>
          <w:bCs/>
        </w:rPr>
        <w:t>Funke M, Shu C, Cheng X, et al. Assessing the CNH–CNY pricing differential: Role of fundamentals, contagion and policy[J]. Journal of International Money and Finance, 2015, 59: 245-262.</w:t>
      </w:r>
    </w:p>
    <w:p w14:paraId="06E128BF" w14:textId="77F79A9C" w:rsidR="00A463C2" w:rsidRDefault="00A463C2" w:rsidP="00962D83">
      <w:pPr>
        <w:numPr>
          <w:ilvl w:val="0"/>
          <w:numId w:val="2"/>
        </w:numPr>
        <w:ind w:firstLineChars="0" w:firstLine="0"/>
        <w:textAlignment w:val="center"/>
        <w:rPr>
          <w:bCs/>
        </w:rPr>
      </w:pPr>
      <w:r w:rsidRPr="00A463C2">
        <w:rPr>
          <w:bCs/>
        </w:rPr>
        <w:t>Han L, Xu Y, Yin L. Forecasting the CNY-CNH pricing differential: The role of investor attention[J]. Pacific-Basin Finance Journal, 2018, 49: 232-247.</w:t>
      </w:r>
    </w:p>
    <w:p w14:paraId="2E8DA724" w14:textId="1F615CE4" w:rsidR="00A463C2" w:rsidRDefault="00A463C2" w:rsidP="00962D83">
      <w:pPr>
        <w:numPr>
          <w:ilvl w:val="0"/>
          <w:numId w:val="2"/>
        </w:numPr>
        <w:ind w:firstLineChars="0" w:firstLine="0"/>
        <w:textAlignment w:val="center"/>
        <w:rPr>
          <w:bCs/>
        </w:rPr>
      </w:pPr>
      <w:r w:rsidRPr="00A463C2">
        <w:rPr>
          <w:bCs/>
        </w:rPr>
        <w:t>Liang Y, Shi K, Wang L, et al. Fluctuation and reform: A tale of two RMB markets[J]. China Economic Review, 2019, 53: 30-52.</w:t>
      </w:r>
    </w:p>
    <w:p w14:paraId="00C1236E" w14:textId="7AAEEAE3" w:rsidR="00A463C2" w:rsidRDefault="00A463C2" w:rsidP="00962D83">
      <w:pPr>
        <w:numPr>
          <w:ilvl w:val="0"/>
          <w:numId w:val="2"/>
        </w:numPr>
        <w:ind w:firstLineChars="0" w:firstLine="0"/>
        <w:textAlignment w:val="center"/>
        <w:rPr>
          <w:bCs/>
        </w:rPr>
      </w:pPr>
      <w:r w:rsidRPr="00A463C2">
        <w:rPr>
          <w:bCs/>
        </w:rPr>
        <w:t>Li X L, Li X, Si D K. Investigating asymmetric determinants of the CNY–CNH exchange rate spreads: The role of economic policy uncertainty[J]. Economics Letters, 2020, 186: 108827.</w:t>
      </w:r>
    </w:p>
    <w:p w14:paraId="7B91AF75" w14:textId="052A95AC" w:rsidR="00A463C2" w:rsidRDefault="00A463C2" w:rsidP="00962D83">
      <w:pPr>
        <w:numPr>
          <w:ilvl w:val="0"/>
          <w:numId w:val="2"/>
        </w:numPr>
        <w:ind w:firstLineChars="0" w:firstLine="0"/>
        <w:textAlignment w:val="center"/>
        <w:rPr>
          <w:bCs/>
        </w:rPr>
      </w:pPr>
      <w:r w:rsidRPr="00A463C2">
        <w:rPr>
          <w:bCs/>
        </w:rPr>
        <w:t>Sun Y, Bao Q, Zheng J, et al. Assessing the price dynamics of onshore and offshore RMB markets: An ITS model approach[J]. China Economic Review, 2020, 62: 101476.</w:t>
      </w:r>
    </w:p>
    <w:p w14:paraId="5327D71F" w14:textId="77777777" w:rsidR="002512D8" w:rsidRDefault="00424DD2" w:rsidP="00962D83">
      <w:pPr>
        <w:numPr>
          <w:ilvl w:val="0"/>
          <w:numId w:val="2"/>
        </w:numPr>
        <w:ind w:firstLineChars="0" w:firstLine="0"/>
        <w:textAlignment w:val="center"/>
        <w:rPr>
          <w:bCs/>
        </w:rPr>
      </w:pPr>
      <w:r>
        <w:rPr>
          <w:bCs/>
        </w:rPr>
        <w:t>尹力博</w:t>
      </w:r>
      <w:r>
        <w:rPr>
          <w:bCs/>
        </w:rPr>
        <w:t>,</w:t>
      </w:r>
      <w:r>
        <w:rPr>
          <w:bCs/>
        </w:rPr>
        <w:t>李勍</w:t>
      </w:r>
      <w:r>
        <w:rPr>
          <w:bCs/>
        </w:rPr>
        <w:t>.</w:t>
      </w:r>
      <w:r>
        <w:rPr>
          <w:bCs/>
        </w:rPr>
        <w:t>投资者关注对人民币汇率价差波动的影响研究</w:t>
      </w:r>
      <w:r>
        <w:rPr>
          <w:bCs/>
        </w:rPr>
        <w:t>——</w:t>
      </w:r>
      <w:r>
        <w:rPr>
          <w:bCs/>
        </w:rPr>
        <w:t>基于</w:t>
      </w:r>
      <w:r>
        <w:rPr>
          <w:bCs/>
        </w:rPr>
        <w:t>GARCH-MIDAS</w:t>
      </w:r>
      <w:r>
        <w:rPr>
          <w:bCs/>
        </w:rPr>
        <w:t>模型</w:t>
      </w:r>
      <w:r>
        <w:rPr>
          <w:bCs/>
        </w:rPr>
        <w:t>[J].</w:t>
      </w:r>
      <w:r>
        <w:rPr>
          <w:bCs/>
        </w:rPr>
        <w:t>管理科学</w:t>
      </w:r>
      <w:r>
        <w:rPr>
          <w:bCs/>
        </w:rPr>
        <w:t>,2017,30(05):147-159.</w:t>
      </w:r>
    </w:p>
    <w:p w14:paraId="3A74942F" w14:textId="77777777" w:rsidR="002512D8" w:rsidRDefault="00424DD2" w:rsidP="00962D83">
      <w:pPr>
        <w:numPr>
          <w:ilvl w:val="0"/>
          <w:numId w:val="2"/>
        </w:numPr>
        <w:ind w:firstLineChars="0" w:firstLine="0"/>
        <w:textAlignment w:val="center"/>
        <w:rPr>
          <w:bCs/>
        </w:rPr>
      </w:pPr>
      <w:r>
        <w:rPr>
          <w:bCs/>
        </w:rPr>
        <w:t>严兵</w:t>
      </w:r>
      <w:r>
        <w:rPr>
          <w:bCs/>
        </w:rPr>
        <w:t>,</w:t>
      </w:r>
      <w:r>
        <w:rPr>
          <w:bCs/>
        </w:rPr>
        <w:t>张禹</w:t>
      </w:r>
      <w:r>
        <w:rPr>
          <w:bCs/>
        </w:rPr>
        <w:t>,</w:t>
      </w:r>
      <w:r>
        <w:rPr>
          <w:bCs/>
        </w:rPr>
        <w:t>刘娜</w:t>
      </w:r>
      <w:r>
        <w:rPr>
          <w:bCs/>
        </w:rPr>
        <w:t>.</w:t>
      </w:r>
      <w:r>
        <w:rPr>
          <w:bCs/>
        </w:rPr>
        <w:t>人民币离岸与在岸汇率差异及其波动研究</w:t>
      </w:r>
      <w:r>
        <w:rPr>
          <w:bCs/>
        </w:rPr>
        <w:t>[J].</w:t>
      </w:r>
      <w:r>
        <w:rPr>
          <w:bCs/>
        </w:rPr>
        <w:t>世界经济研究</w:t>
      </w:r>
      <w:r>
        <w:rPr>
          <w:bCs/>
        </w:rPr>
        <w:t>,2017(05):12-27+135.</w:t>
      </w:r>
    </w:p>
    <w:p w14:paraId="25659356" w14:textId="77777777" w:rsidR="002512D8" w:rsidRDefault="00424DD2" w:rsidP="00962D83">
      <w:pPr>
        <w:numPr>
          <w:ilvl w:val="0"/>
          <w:numId w:val="2"/>
        </w:numPr>
        <w:ind w:firstLineChars="0" w:firstLine="0"/>
        <w:textAlignment w:val="center"/>
        <w:rPr>
          <w:bCs/>
        </w:rPr>
      </w:pPr>
      <w:r>
        <w:rPr>
          <w:bCs/>
        </w:rPr>
        <w:t>吴丽华</w:t>
      </w:r>
      <w:r>
        <w:rPr>
          <w:bCs/>
        </w:rPr>
        <w:t>,</w:t>
      </w:r>
      <w:r>
        <w:rPr>
          <w:bCs/>
        </w:rPr>
        <w:t>奉艳红</w:t>
      </w:r>
      <w:r>
        <w:rPr>
          <w:bCs/>
        </w:rPr>
        <w:t>,</w:t>
      </w:r>
      <w:r>
        <w:rPr>
          <w:bCs/>
        </w:rPr>
        <w:t>江蓝微</w:t>
      </w:r>
      <w:r>
        <w:rPr>
          <w:bCs/>
        </w:rPr>
        <w:t>.</w:t>
      </w:r>
      <w:r>
        <w:rPr>
          <w:bCs/>
        </w:rPr>
        <w:t>在岸与离岸人民币汇率价差的影响因素研究</w:t>
      </w:r>
      <w:r>
        <w:rPr>
          <w:bCs/>
        </w:rPr>
        <w:t>[J].</w:t>
      </w:r>
      <w:r>
        <w:rPr>
          <w:bCs/>
        </w:rPr>
        <w:t>亚太经济</w:t>
      </w:r>
      <w:r>
        <w:rPr>
          <w:bCs/>
        </w:rPr>
        <w:t>,2018(05):38-48+150.</w:t>
      </w:r>
    </w:p>
    <w:p w14:paraId="44D20FED" w14:textId="77777777" w:rsidR="002512D8" w:rsidRDefault="00424DD2" w:rsidP="00962D83">
      <w:pPr>
        <w:numPr>
          <w:ilvl w:val="0"/>
          <w:numId w:val="2"/>
        </w:numPr>
        <w:ind w:firstLineChars="0" w:firstLine="0"/>
        <w:textAlignment w:val="center"/>
        <w:rPr>
          <w:bCs/>
        </w:rPr>
      </w:pPr>
      <w:r>
        <w:rPr>
          <w:bCs/>
        </w:rPr>
        <w:t>席钰</w:t>
      </w:r>
      <w:r>
        <w:rPr>
          <w:bCs/>
        </w:rPr>
        <w:t>.</w:t>
      </w:r>
      <w:r>
        <w:rPr>
          <w:bCs/>
        </w:rPr>
        <w:t>人民币境内外汇率联动关系及价格差异的产生</w:t>
      </w:r>
      <w:r>
        <w:rPr>
          <w:bCs/>
        </w:rPr>
        <w:t>[J].</w:t>
      </w:r>
      <w:r>
        <w:rPr>
          <w:bCs/>
        </w:rPr>
        <w:t>投资研究</w:t>
      </w:r>
      <w:r>
        <w:rPr>
          <w:bCs/>
        </w:rPr>
        <w:t>,2018,37(01):64-79.</w:t>
      </w:r>
    </w:p>
    <w:p w14:paraId="00DCC3CE" w14:textId="4880CED2" w:rsidR="00A463C2" w:rsidRDefault="003E4F1D" w:rsidP="0018546F">
      <w:pPr>
        <w:numPr>
          <w:ilvl w:val="0"/>
          <w:numId w:val="2"/>
        </w:numPr>
        <w:ind w:firstLineChars="0" w:firstLine="0"/>
        <w:textAlignment w:val="center"/>
        <w:rPr>
          <w:bCs/>
        </w:rPr>
      </w:pPr>
      <w:r w:rsidRPr="003E4F1D">
        <w:rPr>
          <w:bCs/>
        </w:rPr>
        <w:t>Chen Y L, Xu K. The impact of RMB’s SDR inclusion on price discovery in onshore-offshore markets[J]. Journal of Banking &amp; Finance, 2021, 127: 106124.</w:t>
      </w:r>
    </w:p>
    <w:p w14:paraId="44F3BA42" w14:textId="47C1DDB7" w:rsidR="00227D50" w:rsidRPr="00227D50" w:rsidRDefault="00227D50" w:rsidP="00227D50">
      <w:pPr>
        <w:numPr>
          <w:ilvl w:val="0"/>
          <w:numId w:val="2"/>
        </w:numPr>
        <w:ind w:firstLineChars="0" w:firstLine="0"/>
        <w:textAlignment w:val="center"/>
        <w:rPr>
          <w:bCs/>
        </w:rPr>
      </w:pPr>
      <w:r w:rsidRPr="006353F3">
        <w:rPr>
          <w:rFonts w:hint="eastAsia"/>
          <w:bCs/>
        </w:rPr>
        <w:t>贾彦乐</w:t>
      </w:r>
      <w:r w:rsidRPr="006353F3">
        <w:rPr>
          <w:rFonts w:hint="eastAsia"/>
          <w:bCs/>
        </w:rPr>
        <w:t>,</w:t>
      </w:r>
      <w:r w:rsidRPr="006353F3">
        <w:rPr>
          <w:rFonts w:hint="eastAsia"/>
          <w:bCs/>
        </w:rPr>
        <w:t>张怀洋</w:t>
      </w:r>
      <w:r w:rsidRPr="006353F3">
        <w:rPr>
          <w:rFonts w:hint="eastAsia"/>
          <w:bCs/>
        </w:rPr>
        <w:t>,</w:t>
      </w:r>
      <w:r w:rsidRPr="006353F3">
        <w:rPr>
          <w:rFonts w:hint="eastAsia"/>
          <w:bCs/>
        </w:rPr>
        <w:t>乔桂明</w:t>
      </w:r>
      <w:r w:rsidRPr="006353F3">
        <w:rPr>
          <w:rFonts w:hint="eastAsia"/>
          <w:bCs/>
        </w:rPr>
        <w:t>.</w:t>
      </w:r>
      <w:r w:rsidRPr="006353F3">
        <w:rPr>
          <w:rFonts w:hint="eastAsia"/>
          <w:bCs/>
        </w:rPr>
        <w:t>人民币在离岸汇差波动特征及影响因素研究</w:t>
      </w:r>
      <w:r w:rsidRPr="006353F3">
        <w:rPr>
          <w:rFonts w:hint="eastAsia"/>
          <w:bCs/>
        </w:rPr>
        <w:t>[J].</w:t>
      </w:r>
      <w:r w:rsidRPr="006353F3">
        <w:rPr>
          <w:rFonts w:hint="eastAsia"/>
          <w:bCs/>
        </w:rPr>
        <w:t>新金融</w:t>
      </w:r>
      <w:r w:rsidRPr="006353F3">
        <w:rPr>
          <w:rFonts w:hint="eastAsia"/>
          <w:bCs/>
        </w:rPr>
        <w:t>,2016(08):21-27.</w:t>
      </w:r>
    </w:p>
    <w:p w14:paraId="6A85E8A8" w14:textId="186E1AD6" w:rsidR="002512D8" w:rsidRDefault="00424DD2" w:rsidP="00962D83">
      <w:pPr>
        <w:numPr>
          <w:ilvl w:val="0"/>
          <w:numId w:val="2"/>
        </w:numPr>
        <w:ind w:firstLineChars="0" w:firstLine="0"/>
        <w:textAlignment w:val="center"/>
        <w:rPr>
          <w:bCs/>
        </w:rPr>
      </w:pPr>
      <w:r>
        <w:rPr>
          <w:bCs/>
        </w:rPr>
        <w:t>阮青松</w:t>
      </w:r>
      <w:r>
        <w:rPr>
          <w:bCs/>
        </w:rPr>
        <w:t>,</w:t>
      </w:r>
      <w:r>
        <w:rPr>
          <w:bCs/>
        </w:rPr>
        <w:t>杨君轩</w:t>
      </w:r>
      <w:r>
        <w:rPr>
          <w:bCs/>
        </w:rPr>
        <w:t>.</w:t>
      </w:r>
      <w:r>
        <w:rPr>
          <w:bCs/>
        </w:rPr>
        <w:t>人民币离岸在岸汇率波动特征、差异原因、影响及对策研究</w:t>
      </w:r>
      <w:r>
        <w:rPr>
          <w:bCs/>
        </w:rPr>
        <w:t>[J].</w:t>
      </w:r>
      <w:r>
        <w:rPr>
          <w:bCs/>
        </w:rPr>
        <w:t>经济问题探索</w:t>
      </w:r>
      <w:r>
        <w:rPr>
          <w:bCs/>
        </w:rPr>
        <w:t>,2017(11):156-164.</w:t>
      </w:r>
    </w:p>
    <w:p w14:paraId="369C6897" w14:textId="31E2DC55" w:rsidR="00225578" w:rsidRDefault="00225578" w:rsidP="00962D83">
      <w:pPr>
        <w:numPr>
          <w:ilvl w:val="0"/>
          <w:numId w:val="2"/>
        </w:numPr>
        <w:ind w:firstLineChars="0" w:firstLine="0"/>
        <w:textAlignment w:val="center"/>
        <w:rPr>
          <w:bCs/>
        </w:rPr>
      </w:pPr>
      <w:r w:rsidRPr="00225578">
        <w:rPr>
          <w:rFonts w:hint="eastAsia"/>
          <w:bCs/>
        </w:rPr>
        <w:t>邢雅菲</w:t>
      </w:r>
      <w:r w:rsidRPr="00225578">
        <w:rPr>
          <w:rFonts w:hint="eastAsia"/>
          <w:bCs/>
        </w:rPr>
        <w:t>.</w:t>
      </w:r>
      <w:r w:rsidRPr="00225578">
        <w:rPr>
          <w:rFonts w:hint="eastAsia"/>
          <w:bCs/>
        </w:rPr>
        <w:t>国际金融市场波动对离在岸人民币汇差的动态影响研究</w:t>
      </w:r>
      <w:r w:rsidRPr="00225578">
        <w:rPr>
          <w:rFonts w:hint="eastAsia"/>
          <w:bCs/>
        </w:rPr>
        <w:t>[J].</w:t>
      </w:r>
      <w:r w:rsidRPr="00225578">
        <w:rPr>
          <w:rFonts w:hint="eastAsia"/>
          <w:bCs/>
        </w:rPr>
        <w:t>经济与管理评</w:t>
      </w:r>
      <w:r w:rsidRPr="00225578">
        <w:rPr>
          <w:rFonts w:hint="eastAsia"/>
          <w:bCs/>
        </w:rPr>
        <w:lastRenderedPageBreak/>
        <w:t>论</w:t>
      </w:r>
      <w:r w:rsidRPr="00225578">
        <w:rPr>
          <w:rFonts w:hint="eastAsia"/>
          <w:bCs/>
        </w:rPr>
        <w:t>,2017,33(03):98-107</w:t>
      </w:r>
    </w:p>
    <w:p w14:paraId="6BD1C4D3" w14:textId="71F5C6CC" w:rsidR="003E5DD8" w:rsidRPr="003E5DD8" w:rsidRDefault="003E5DD8" w:rsidP="003E5DD8">
      <w:pPr>
        <w:numPr>
          <w:ilvl w:val="0"/>
          <w:numId w:val="2"/>
        </w:numPr>
        <w:ind w:firstLineChars="0" w:firstLine="0"/>
        <w:textAlignment w:val="center"/>
        <w:rPr>
          <w:bCs/>
        </w:rPr>
      </w:pPr>
      <w:r>
        <w:rPr>
          <w:bCs/>
        </w:rPr>
        <w:t>谭小芬</w:t>
      </w:r>
      <w:r>
        <w:rPr>
          <w:bCs/>
        </w:rPr>
        <w:t>,</w:t>
      </w:r>
      <w:r>
        <w:rPr>
          <w:bCs/>
        </w:rPr>
        <w:t>张辉</w:t>
      </w:r>
      <w:r>
        <w:rPr>
          <w:bCs/>
        </w:rPr>
        <w:t>,</w:t>
      </w:r>
      <w:r>
        <w:rPr>
          <w:bCs/>
        </w:rPr>
        <w:t>杨楠</w:t>
      </w:r>
      <w:r>
        <w:rPr>
          <w:bCs/>
        </w:rPr>
        <w:t>,</w:t>
      </w:r>
      <w:r>
        <w:rPr>
          <w:bCs/>
        </w:rPr>
        <w:t>金玥</w:t>
      </w:r>
      <w:r>
        <w:rPr>
          <w:bCs/>
        </w:rPr>
        <w:t>.</w:t>
      </w:r>
      <w:r>
        <w:rPr>
          <w:bCs/>
        </w:rPr>
        <w:t>离岸与在岸人民币汇率</w:t>
      </w:r>
      <w:r>
        <w:rPr>
          <w:bCs/>
        </w:rPr>
        <w:t>:</w:t>
      </w:r>
      <w:r>
        <w:rPr>
          <w:bCs/>
        </w:rPr>
        <w:t>联动机制和溢出效应</w:t>
      </w:r>
      <w:r>
        <w:rPr>
          <w:bCs/>
        </w:rPr>
        <w:t>——</w:t>
      </w:r>
      <w:r>
        <w:rPr>
          <w:bCs/>
        </w:rPr>
        <w:t>基于</w:t>
      </w:r>
      <w:r>
        <w:rPr>
          <w:bCs/>
        </w:rPr>
        <w:t>VAR-GARCH-BEKK</w:t>
      </w:r>
      <w:r>
        <w:rPr>
          <w:bCs/>
        </w:rPr>
        <w:t>模型的分析</w:t>
      </w:r>
      <w:r>
        <w:rPr>
          <w:bCs/>
        </w:rPr>
        <w:t>[J].</w:t>
      </w:r>
      <w:r>
        <w:rPr>
          <w:bCs/>
        </w:rPr>
        <w:t>管理科学学报</w:t>
      </w:r>
      <w:r>
        <w:rPr>
          <w:bCs/>
        </w:rPr>
        <w:t>,2019,22(07):52-65.</w:t>
      </w:r>
    </w:p>
    <w:p w14:paraId="63A33A04" w14:textId="77777777" w:rsidR="002512D8" w:rsidRDefault="002512D8">
      <w:pPr>
        <w:ind w:firstLine="420"/>
        <w:textAlignment w:val="center"/>
        <w:rPr>
          <w:bCs/>
        </w:rPr>
      </w:pPr>
    </w:p>
    <w:p w14:paraId="0B2509A7" w14:textId="060D33BA" w:rsidR="002512D8" w:rsidRPr="00962D83" w:rsidRDefault="002512D8" w:rsidP="000A3CF0">
      <w:pPr>
        <w:ind w:firstLineChars="0" w:firstLine="0"/>
        <w:textAlignment w:val="center"/>
        <w:rPr>
          <w:bCs/>
        </w:rPr>
      </w:pPr>
    </w:p>
    <w:sectPr w:rsidR="002512D8" w:rsidRPr="00962D83" w:rsidSect="00922BA5">
      <w:footerReference w:type="default" r:id="rId6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B478" w14:textId="77777777" w:rsidR="00DA018D" w:rsidRDefault="00DA018D" w:rsidP="00B94614">
      <w:pPr>
        <w:ind w:firstLine="420"/>
      </w:pPr>
      <w:r>
        <w:separator/>
      </w:r>
    </w:p>
  </w:endnote>
  <w:endnote w:type="continuationSeparator" w:id="0">
    <w:p w14:paraId="1E9D26C2" w14:textId="77777777" w:rsidR="00DA018D" w:rsidRDefault="00DA018D" w:rsidP="00B94614">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B003" w14:textId="77777777" w:rsidR="00474BD4" w:rsidRDefault="00474BD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1248" w14:textId="77777777" w:rsidR="00631786" w:rsidRPr="00474BD4" w:rsidRDefault="00631786" w:rsidP="00474BD4">
    <w:pPr>
      <w:pStyle w:val="aa"/>
      <w:spacing w:line="240" w:lineRule="auto"/>
      <w:ind w:firstLineChars="0" w:firstLine="0"/>
      <w:rPr>
        <w:rFonts w:asciiTheme="minorEastAsia" w:hAnsiTheme="minorEastAsia"/>
      </w:rPr>
    </w:pPr>
  </w:p>
  <w:p w14:paraId="79266FB8" w14:textId="77777777" w:rsidR="00A201CD" w:rsidRPr="00A201CD" w:rsidRDefault="00A201CD" w:rsidP="00474BD4">
    <w:pPr>
      <w:pStyle w:val="a7"/>
      <w:spacing w:line="240" w:lineRule="auto"/>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E1C0" w14:textId="77777777" w:rsidR="00474BD4" w:rsidRDefault="00474BD4">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38E2" w14:textId="5D49B3C2" w:rsidR="00922BA5" w:rsidRDefault="00922BA5" w:rsidP="00FF3990">
    <w:pPr>
      <w:pStyle w:val="a7"/>
      <w:ind w:firstLineChars="0" w:firstLine="0"/>
    </w:pPr>
  </w:p>
  <w:p w14:paraId="5F008EAF" w14:textId="77777777" w:rsidR="00A201CD" w:rsidRPr="00A201CD" w:rsidRDefault="00A201CD">
    <w:pPr>
      <w:pStyle w:val="a7"/>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981270"/>
      <w:docPartObj>
        <w:docPartGallery w:val="Page Numbers (Bottom of Page)"/>
        <w:docPartUnique/>
      </w:docPartObj>
    </w:sdtPr>
    <w:sdtContent>
      <w:p w14:paraId="661CA120" w14:textId="038A2090" w:rsidR="00FF3990" w:rsidRDefault="00FF3990">
        <w:pPr>
          <w:pStyle w:val="a7"/>
          <w:ind w:firstLine="360"/>
          <w:jc w:val="center"/>
        </w:pPr>
        <w:r>
          <w:fldChar w:fldCharType="begin"/>
        </w:r>
        <w:r>
          <w:instrText>PAGE   \* MERGEFORMAT</w:instrText>
        </w:r>
        <w:r>
          <w:fldChar w:fldCharType="separate"/>
        </w:r>
        <w:r>
          <w:rPr>
            <w:lang w:val="zh-CN"/>
          </w:rPr>
          <w:t>2</w:t>
        </w:r>
        <w:r>
          <w:fldChar w:fldCharType="end"/>
        </w:r>
      </w:p>
    </w:sdtContent>
  </w:sdt>
  <w:p w14:paraId="737A3078" w14:textId="77777777" w:rsidR="00FF3990" w:rsidRPr="00A201CD" w:rsidRDefault="00FF3990">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3999D" w14:textId="77777777" w:rsidR="00DA018D" w:rsidRDefault="00DA018D" w:rsidP="00B94614">
      <w:pPr>
        <w:ind w:firstLine="420"/>
      </w:pPr>
      <w:r>
        <w:separator/>
      </w:r>
    </w:p>
  </w:footnote>
  <w:footnote w:type="continuationSeparator" w:id="0">
    <w:p w14:paraId="1EE8A451" w14:textId="77777777" w:rsidR="00DA018D" w:rsidRDefault="00DA018D" w:rsidP="00B94614">
      <w:pPr>
        <w:ind w:firstLine="420"/>
      </w:pPr>
      <w:r>
        <w:continuationSeparator/>
      </w:r>
    </w:p>
  </w:footnote>
  <w:footnote w:id="1">
    <w:p w14:paraId="0F7DF0CB" w14:textId="60E2BEA9" w:rsidR="004235F8" w:rsidRPr="004235F8" w:rsidRDefault="004235F8" w:rsidP="004235F8">
      <w:pPr>
        <w:pStyle w:val="aa"/>
        <w:spacing w:line="240" w:lineRule="auto"/>
        <w:ind w:firstLineChars="0" w:firstLine="0"/>
        <w:rPr>
          <w:rFonts w:asciiTheme="minorEastAsia" w:hAnsiTheme="minorEastAsia" w:cs="Times New Roman" w:hint="eastAsia"/>
        </w:rPr>
      </w:pPr>
      <w:r>
        <w:rPr>
          <w:rStyle w:val="ac"/>
        </w:rPr>
        <w:footnoteRef/>
      </w:r>
      <w:r w:rsidRPr="00474BD4">
        <w:rPr>
          <w:rFonts w:asciiTheme="minorEastAsia" w:hAnsiTheme="minorEastAsia"/>
        </w:rPr>
        <w:t>[</w:t>
      </w:r>
      <w:r w:rsidRPr="00474BD4">
        <w:rPr>
          <w:rFonts w:asciiTheme="minorEastAsia" w:hAnsiTheme="minorEastAsia" w:hint="eastAsia"/>
        </w:rPr>
        <w:t>投稿日期]:</w:t>
      </w:r>
      <w:r w:rsidRPr="00474BD4">
        <w:rPr>
          <w:rFonts w:asciiTheme="minorEastAsia" w:hAnsiTheme="minorEastAsia" w:cs="Times New Roman"/>
        </w:rPr>
        <w:t>2021-09-05；[修回日期]：202</w:t>
      </w:r>
      <w:r>
        <w:rPr>
          <w:rFonts w:asciiTheme="minorEastAsia" w:hAnsiTheme="minorEastAsia" w:cs="Times New Roman"/>
        </w:rPr>
        <w:t>2</w:t>
      </w:r>
      <w:r w:rsidRPr="00474BD4">
        <w:rPr>
          <w:rFonts w:asciiTheme="minorEastAsia" w:hAnsiTheme="minorEastAsia" w:cs="Times New Roman"/>
        </w:rPr>
        <w:t>-</w:t>
      </w:r>
      <w:r>
        <w:rPr>
          <w:rFonts w:asciiTheme="minorEastAsia" w:hAnsiTheme="minorEastAsia" w:cs="Times New Roman"/>
        </w:rPr>
        <w:t>4</w:t>
      </w:r>
      <w:r>
        <w:rPr>
          <w:rFonts w:asciiTheme="minorEastAsia" w:hAnsiTheme="minorEastAsia" w:cs="Times New Roman" w:hint="eastAsia"/>
        </w:rPr>
        <w:t>-</w:t>
      </w:r>
      <w:r>
        <w:rPr>
          <w:rFonts w:asciiTheme="minorEastAsia" w:hAnsiTheme="minorEastAsia" w:cs="Times New Roman"/>
        </w:rPr>
        <w:t>24</w:t>
      </w:r>
    </w:p>
  </w:footnote>
  <w:footnote w:id="2">
    <w:p w14:paraId="30BA72B0" w14:textId="2B5F1BF5" w:rsidR="005E4901" w:rsidRPr="004235F8" w:rsidRDefault="005E4901" w:rsidP="004235F8">
      <w:pPr>
        <w:pStyle w:val="aa"/>
        <w:spacing w:line="240" w:lineRule="auto"/>
        <w:ind w:firstLineChars="0" w:firstLine="0"/>
        <w:rPr>
          <w:rFonts w:asciiTheme="minorEastAsia" w:hAnsiTheme="minorEastAsia" w:cs="Times New Roman" w:hint="eastAsia"/>
        </w:rPr>
      </w:pPr>
      <w:r>
        <w:rPr>
          <w:rStyle w:val="ac"/>
        </w:rPr>
        <w:footnoteRef/>
      </w:r>
      <w:r>
        <w:rPr>
          <w:rFonts w:asciiTheme="minorEastAsia" w:hAnsiTheme="minorEastAsia" w:cs="Times New Roman"/>
        </w:rPr>
        <w:t>[</w:t>
      </w:r>
      <w:r>
        <w:rPr>
          <w:rFonts w:asciiTheme="minorEastAsia" w:hAnsiTheme="minorEastAsia" w:cs="Times New Roman" w:hint="eastAsia"/>
        </w:rPr>
        <w:t>基金项目]</w:t>
      </w:r>
      <w:r w:rsidRPr="00F360C1">
        <w:rPr>
          <w:rFonts w:asciiTheme="minorEastAsia" w:hAnsiTheme="minorEastAsia" w:cs="Times New Roman" w:hint="eastAsia"/>
        </w:rPr>
        <w:t>国家</w:t>
      </w:r>
      <w:r w:rsidR="0069470B">
        <w:rPr>
          <w:rFonts w:asciiTheme="minorEastAsia" w:hAnsiTheme="minorEastAsia" w:cs="Times New Roman" w:hint="eastAsia"/>
        </w:rPr>
        <w:t>社会科学基金一般项目“市场交易视角下的人民币汇率微观决定机制研究”</w:t>
      </w:r>
      <w:r>
        <w:rPr>
          <w:rFonts w:asciiTheme="minorEastAsia" w:hAnsiTheme="minorEastAsia" w:cs="Times New Roman" w:hint="eastAsia"/>
        </w:rPr>
        <w:t>（</w:t>
      </w:r>
      <w:r w:rsidR="0069470B">
        <w:rPr>
          <w:rFonts w:asciiTheme="minorEastAsia" w:hAnsiTheme="minorEastAsia" w:cs="Times New Roman" w:hint="eastAsia"/>
        </w:rPr>
        <w:t>批准号</w:t>
      </w:r>
      <w:r w:rsidRPr="00F360C1">
        <w:rPr>
          <w:rFonts w:asciiTheme="minorEastAsia" w:hAnsiTheme="minorEastAsia" w:cs="Times New Roman" w:hint="eastAsia"/>
        </w:rPr>
        <w:t>1</w:t>
      </w:r>
      <w:r w:rsidRPr="00F360C1">
        <w:rPr>
          <w:rFonts w:asciiTheme="minorEastAsia" w:hAnsiTheme="minorEastAsia" w:cs="Times New Roman"/>
        </w:rPr>
        <w:t>9BJL122</w:t>
      </w:r>
      <w:r w:rsidR="0069470B">
        <w:rPr>
          <w:rFonts w:asciiTheme="minorEastAsia" w:hAnsiTheme="minorEastAsia" w:cs="Times New Roman" w:hint="eastAsia"/>
        </w:rPr>
        <w:t>）</w:t>
      </w:r>
    </w:p>
  </w:footnote>
  <w:footnote w:id="3">
    <w:p w14:paraId="55FAB490" w14:textId="0C0EB5BF" w:rsidR="004235F8" w:rsidRDefault="0069470B" w:rsidP="004235F8">
      <w:pPr>
        <w:pStyle w:val="aa"/>
        <w:spacing w:line="240" w:lineRule="auto"/>
        <w:ind w:firstLineChars="0" w:firstLine="0"/>
        <w:rPr>
          <w:rFonts w:asciiTheme="minorEastAsia" w:hAnsiTheme="minorEastAsia"/>
        </w:rPr>
      </w:pPr>
      <w:r>
        <w:rPr>
          <w:rStyle w:val="ac"/>
        </w:rPr>
        <w:footnoteRef/>
      </w:r>
      <w:r w:rsidRPr="00474BD4">
        <w:rPr>
          <w:rFonts w:asciiTheme="minorEastAsia" w:hAnsiTheme="minorEastAsia" w:hint="eastAsia"/>
        </w:rPr>
        <w:t>[</w:t>
      </w:r>
      <w:r w:rsidRPr="00474BD4">
        <w:rPr>
          <w:rFonts w:asciiTheme="minorEastAsia" w:hAnsiTheme="minorEastAsia" w:hint="eastAsia"/>
        </w:rPr>
        <w:t>作者简介]李小平，</w:t>
      </w:r>
      <w:r w:rsidRPr="00474BD4">
        <w:rPr>
          <w:rFonts w:asciiTheme="minorEastAsia" w:hAnsiTheme="minorEastAsia"/>
        </w:rPr>
        <w:t>女，</w:t>
      </w:r>
      <w:r w:rsidRPr="00474BD4">
        <w:rPr>
          <w:rFonts w:asciiTheme="minorEastAsia" w:hAnsiTheme="minorEastAsia" w:hint="eastAsia"/>
        </w:rPr>
        <w:t>19</w:t>
      </w:r>
      <w:r w:rsidRPr="00474BD4">
        <w:rPr>
          <w:rFonts w:asciiTheme="minorEastAsia" w:hAnsiTheme="minorEastAsia"/>
        </w:rPr>
        <w:t>80</w:t>
      </w:r>
      <w:r w:rsidRPr="00474BD4">
        <w:rPr>
          <w:rFonts w:asciiTheme="minorEastAsia" w:hAnsiTheme="minorEastAsia" w:hint="eastAsia"/>
        </w:rPr>
        <w:t>-</w:t>
      </w:r>
      <w:r w:rsidRPr="00474BD4">
        <w:rPr>
          <w:rFonts w:asciiTheme="minorEastAsia" w:hAnsiTheme="minorEastAsia"/>
        </w:rPr>
        <w:t xml:space="preserve"> </w:t>
      </w:r>
      <w:r w:rsidRPr="00474BD4">
        <w:rPr>
          <w:rFonts w:asciiTheme="minorEastAsia" w:hAnsiTheme="minorEastAsia" w:hint="eastAsia"/>
        </w:rPr>
        <w:t>，上海师范大学商学院教授，</w:t>
      </w:r>
      <w:r w:rsidR="00814514">
        <w:rPr>
          <w:rFonts w:asciiTheme="minorEastAsia" w:hAnsiTheme="minorEastAsia" w:hint="eastAsia"/>
        </w:rPr>
        <w:t>硕士生导师</w:t>
      </w:r>
      <w:r w:rsidR="00EF4C70">
        <w:rPr>
          <w:rFonts w:asciiTheme="minorEastAsia" w:hAnsiTheme="minorEastAsia" w:hint="eastAsia"/>
        </w:rPr>
        <w:t>；</w:t>
      </w:r>
      <w:r w:rsidRPr="00474BD4">
        <w:rPr>
          <w:rFonts w:asciiTheme="minorEastAsia" w:hAnsiTheme="minorEastAsia" w:hint="eastAsia"/>
        </w:rPr>
        <w:t>研究领域：</w:t>
      </w:r>
      <w:r>
        <w:rPr>
          <w:rFonts w:asciiTheme="minorEastAsia" w:hAnsiTheme="minorEastAsia" w:hint="eastAsia"/>
        </w:rPr>
        <w:t>汇率决定</w:t>
      </w:r>
      <w:r w:rsidRPr="00474BD4">
        <w:rPr>
          <w:rFonts w:asciiTheme="minorEastAsia" w:hAnsiTheme="minorEastAsia" w:hint="eastAsia"/>
        </w:rPr>
        <w:t>；电子邮箱：</w:t>
      </w:r>
      <w:hyperlink r:id="rId1" w:history="1">
        <w:r w:rsidRPr="00DC43D0">
          <w:rPr>
            <w:rStyle w:val="ae"/>
            <w:rFonts w:asciiTheme="minorEastAsia" w:hAnsiTheme="minorEastAsia"/>
          </w:rPr>
          <w:t>lxpcr@shnu.edu.cn</w:t>
        </w:r>
      </w:hyperlink>
      <w:r w:rsidRPr="00474BD4">
        <w:rPr>
          <w:rFonts w:asciiTheme="minorEastAsia" w:hAnsiTheme="minorEastAsia" w:hint="eastAsia"/>
        </w:rPr>
        <w:t>；联系电话：</w:t>
      </w:r>
      <w:r w:rsidRPr="00612386">
        <w:rPr>
          <w:rFonts w:asciiTheme="minorEastAsia" w:hAnsiTheme="minorEastAsia"/>
        </w:rPr>
        <w:t>021-64324649</w:t>
      </w:r>
      <w:r w:rsidRPr="00474BD4">
        <w:rPr>
          <w:rFonts w:asciiTheme="minorEastAsia" w:hAnsiTheme="minorEastAsia" w:hint="eastAsia"/>
        </w:rPr>
        <w:t>；通讯地址：上海市徐汇区桂林路100号。</w:t>
      </w:r>
    </w:p>
    <w:p w14:paraId="0BEAFC4C" w14:textId="1E9F07CB" w:rsidR="0069470B" w:rsidRPr="00814514" w:rsidRDefault="0069470B" w:rsidP="004235F8">
      <w:pPr>
        <w:pStyle w:val="aa"/>
        <w:spacing w:line="240" w:lineRule="auto"/>
        <w:ind w:firstLineChars="0" w:firstLine="0"/>
        <w:rPr>
          <w:rFonts w:asciiTheme="minorEastAsia" w:hAnsiTheme="minorEastAsia" w:hint="eastAsia"/>
        </w:rPr>
      </w:pPr>
      <w:r w:rsidRPr="00474BD4">
        <w:rPr>
          <w:rFonts w:asciiTheme="minorEastAsia" w:hAnsiTheme="minorEastAsia" w:hint="eastAsia"/>
        </w:rPr>
        <w:t>范丽爽，女，1</w:t>
      </w:r>
      <w:r w:rsidRPr="00474BD4">
        <w:rPr>
          <w:rFonts w:asciiTheme="minorEastAsia" w:hAnsiTheme="minorEastAsia"/>
        </w:rPr>
        <w:t>997</w:t>
      </w:r>
      <w:r w:rsidRPr="00474BD4">
        <w:rPr>
          <w:rFonts w:asciiTheme="minorEastAsia" w:hAnsiTheme="minorEastAsia" w:hint="eastAsia"/>
        </w:rPr>
        <w:t>-</w:t>
      </w:r>
      <w:r w:rsidRPr="00474BD4">
        <w:rPr>
          <w:rFonts w:asciiTheme="minorEastAsia" w:hAnsiTheme="minorEastAsia"/>
        </w:rPr>
        <w:t>03</w:t>
      </w:r>
      <w:r w:rsidRPr="00474BD4">
        <w:rPr>
          <w:rFonts w:asciiTheme="minorEastAsia" w:hAnsiTheme="minorEastAsia" w:hint="eastAsia"/>
        </w:rPr>
        <w:t>，</w:t>
      </w:r>
      <w:r w:rsidR="004235F8">
        <w:rPr>
          <w:rFonts w:asciiTheme="minorEastAsia" w:hAnsiTheme="minorEastAsia" w:hint="eastAsia"/>
        </w:rPr>
        <w:t>数量经济学专业</w:t>
      </w:r>
      <w:r w:rsidRPr="00474BD4">
        <w:rPr>
          <w:rFonts w:asciiTheme="minorEastAsia" w:hAnsiTheme="minorEastAsia" w:hint="eastAsia"/>
        </w:rPr>
        <w:t>硕士研究生，</w:t>
      </w:r>
      <w:r w:rsidR="004235F8">
        <w:rPr>
          <w:rFonts w:asciiTheme="minorEastAsia" w:hAnsiTheme="minorEastAsia" w:hint="eastAsia"/>
        </w:rPr>
        <w:t>上海师范大学商学院；</w:t>
      </w:r>
      <w:r w:rsidRPr="00474BD4">
        <w:rPr>
          <w:rFonts w:asciiTheme="minorEastAsia" w:hAnsiTheme="minorEastAsia" w:hint="eastAsia"/>
        </w:rPr>
        <w:t>研究领域：宏观金融；电子邮箱：7</w:t>
      </w:r>
      <w:r w:rsidRPr="00474BD4">
        <w:rPr>
          <w:rFonts w:asciiTheme="minorEastAsia" w:hAnsiTheme="minorEastAsia"/>
        </w:rPr>
        <w:t>41351761</w:t>
      </w:r>
      <w:r w:rsidRPr="00474BD4">
        <w:rPr>
          <w:rFonts w:asciiTheme="minorEastAsia" w:hAnsiTheme="minorEastAsia" w:hint="eastAsia"/>
        </w:rPr>
        <w:t>@</w:t>
      </w:r>
      <w:r w:rsidRPr="00474BD4">
        <w:rPr>
          <w:rFonts w:asciiTheme="minorEastAsia" w:hAnsiTheme="minorEastAsia"/>
        </w:rPr>
        <w:t>qq.com</w:t>
      </w:r>
      <w:r w:rsidRPr="00474BD4">
        <w:rPr>
          <w:rFonts w:asciiTheme="minorEastAsia" w:hAnsiTheme="minorEastAsia" w:hint="eastAsia"/>
        </w:rPr>
        <w:t>；联系电话：1</w:t>
      </w:r>
      <w:r w:rsidRPr="00474BD4">
        <w:rPr>
          <w:rFonts w:asciiTheme="minorEastAsia" w:hAnsiTheme="minorEastAsia"/>
        </w:rPr>
        <w:t>9821823442</w:t>
      </w:r>
      <w:r w:rsidRPr="00474BD4">
        <w:rPr>
          <w:rFonts w:asciiTheme="minorEastAsia" w:hAnsiTheme="minorEastAsia" w:hint="eastAsia"/>
        </w:rPr>
        <w:t>；通讯地址：上海市徐汇区桂林路100号。感谢匿名评审专家和编辑部的宝贵意见，文责自负。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6FD8" w14:textId="77777777" w:rsidR="00474BD4" w:rsidRDefault="00474BD4">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FBEB" w14:textId="77777777" w:rsidR="00474BD4" w:rsidRDefault="00474BD4" w:rsidP="00631786">
    <w:pPr>
      <w:pStyle w:val="a5"/>
      <w:pBdr>
        <w:bottom w:val="none" w:sz="0" w:space="0" w:color="auto"/>
      </w:pBdr>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6230" w14:textId="77777777" w:rsidR="00474BD4" w:rsidRDefault="00474BD4">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66B0EC"/>
    <w:multiLevelType w:val="singleLevel"/>
    <w:tmpl w:val="C166B0EC"/>
    <w:lvl w:ilvl="0">
      <w:start w:val="1"/>
      <w:numFmt w:val="chineseCounting"/>
      <w:suff w:val="nothing"/>
      <w:lvlText w:val="第%1，"/>
      <w:lvlJc w:val="left"/>
      <w:rPr>
        <w:rFonts w:hint="eastAsia"/>
      </w:rPr>
    </w:lvl>
  </w:abstractNum>
  <w:abstractNum w:abstractNumId="1" w15:restartNumberingAfterBreak="0">
    <w:nsid w:val="EA282BC5"/>
    <w:multiLevelType w:val="singleLevel"/>
    <w:tmpl w:val="EA282BC5"/>
    <w:lvl w:ilvl="0">
      <w:start w:val="1"/>
      <w:numFmt w:val="decimal"/>
      <w:lvlText w:val="[%1]"/>
      <w:lvlJc w:val="left"/>
      <w:pPr>
        <w:tabs>
          <w:tab w:val="left" w:pos="312"/>
        </w:tabs>
      </w:pPr>
    </w:lvl>
  </w:abstractNum>
  <w:abstractNum w:abstractNumId="2" w15:restartNumberingAfterBreak="0">
    <w:nsid w:val="FFFFFF7C"/>
    <w:multiLevelType w:val="singleLevel"/>
    <w:tmpl w:val="DDFEFF80"/>
    <w:lvl w:ilvl="0">
      <w:start w:val="1"/>
      <w:numFmt w:val="decimal"/>
      <w:lvlText w:val="%1."/>
      <w:lvlJc w:val="left"/>
      <w:pPr>
        <w:tabs>
          <w:tab w:val="num" w:pos="2040"/>
        </w:tabs>
        <w:ind w:leftChars="800" w:left="2040" w:hangingChars="200" w:hanging="360"/>
      </w:pPr>
    </w:lvl>
  </w:abstractNum>
  <w:abstractNum w:abstractNumId="3" w15:restartNumberingAfterBreak="0">
    <w:nsid w:val="FFFFFF7D"/>
    <w:multiLevelType w:val="singleLevel"/>
    <w:tmpl w:val="7FF8BCC4"/>
    <w:lvl w:ilvl="0">
      <w:start w:val="1"/>
      <w:numFmt w:val="decimal"/>
      <w:lvlText w:val="%1."/>
      <w:lvlJc w:val="left"/>
      <w:pPr>
        <w:tabs>
          <w:tab w:val="num" w:pos="1620"/>
        </w:tabs>
        <w:ind w:leftChars="600" w:left="1620" w:hangingChars="200" w:hanging="360"/>
      </w:pPr>
    </w:lvl>
  </w:abstractNum>
  <w:abstractNum w:abstractNumId="4" w15:restartNumberingAfterBreak="0">
    <w:nsid w:val="FFFFFF7E"/>
    <w:multiLevelType w:val="singleLevel"/>
    <w:tmpl w:val="B16E522A"/>
    <w:lvl w:ilvl="0">
      <w:start w:val="1"/>
      <w:numFmt w:val="decimal"/>
      <w:lvlText w:val="%1."/>
      <w:lvlJc w:val="left"/>
      <w:pPr>
        <w:tabs>
          <w:tab w:val="num" w:pos="1200"/>
        </w:tabs>
        <w:ind w:leftChars="400" w:left="1200" w:hangingChars="200" w:hanging="360"/>
      </w:pPr>
    </w:lvl>
  </w:abstractNum>
  <w:abstractNum w:abstractNumId="5" w15:restartNumberingAfterBreak="0">
    <w:nsid w:val="FFFFFF7F"/>
    <w:multiLevelType w:val="singleLevel"/>
    <w:tmpl w:val="77928C2C"/>
    <w:lvl w:ilvl="0">
      <w:start w:val="1"/>
      <w:numFmt w:val="decimal"/>
      <w:lvlText w:val="%1."/>
      <w:lvlJc w:val="left"/>
      <w:pPr>
        <w:tabs>
          <w:tab w:val="num" w:pos="780"/>
        </w:tabs>
        <w:ind w:leftChars="200" w:left="780" w:hangingChars="200" w:hanging="360"/>
      </w:pPr>
    </w:lvl>
  </w:abstractNum>
  <w:abstractNum w:abstractNumId="6" w15:restartNumberingAfterBreak="0">
    <w:nsid w:val="FFFFFF80"/>
    <w:multiLevelType w:val="singleLevel"/>
    <w:tmpl w:val="D4F421E8"/>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C15C6C1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1732206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EBD4A37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CC94E276"/>
    <w:lvl w:ilvl="0">
      <w:start w:val="1"/>
      <w:numFmt w:val="decimal"/>
      <w:lvlText w:val="%1."/>
      <w:lvlJc w:val="left"/>
      <w:pPr>
        <w:tabs>
          <w:tab w:val="num" w:pos="360"/>
        </w:tabs>
        <w:ind w:left="360" w:hangingChars="200" w:hanging="360"/>
      </w:pPr>
    </w:lvl>
  </w:abstractNum>
  <w:abstractNum w:abstractNumId="11" w15:restartNumberingAfterBreak="0">
    <w:nsid w:val="FFFFFF89"/>
    <w:multiLevelType w:val="singleLevel"/>
    <w:tmpl w:val="C8144700"/>
    <w:lvl w:ilvl="0">
      <w:start w:val="1"/>
      <w:numFmt w:val="bullet"/>
      <w:lvlText w:val=""/>
      <w:lvlJc w:val="left"/>
      <w:pPr>
        <w:tabs>
          <w:tab w:val="num" w:pos="360"/>
        </w:tabs>
        <w:ind w:left="360" w:hangingChars="200" w:hanging="360"/>
      </w:pPr>
      <w:rPr>
        <w:rFonts w:ascii="Wingdings" w:hAnsi="Wingdings" w:hint="default"/>
      </w:rPr>
    </w:lvl>
  </w:abstractNum>
  <w:abstractNum w:abstractNumId="12" w15:restartNumberingAfterBreak="0">
    <w:nsid w:val="065B9491"/>
    <w:multiLevelType w:val="singleLevel"/>
    <w:tmpl w:val="065B9491"/>
    <w:lvl w:ilvl="0">
      <w:start w:val="1"/>
      <w:numFmt w:val="decimal"/>
      <w:suff w:val="space"/>
      <w:lvlText w:val="（%1."/>
      <w:lvlJc w:val="left"/>
    </w:lvl>
  </w:abstractNum>
  <w:num w:numId="1" w16cid:durableId="1110662605">
    <w:abstractNumId w:val="0"/>
  </w:num>
  <w:num w:numId="2" w16cid:durableId="1727878987">
    <w:abstractNumId w:val="1"/>
  </w:num>
  <w:num w:numId="3" w16cid:durableId="1726757108">
    <w:abstractNumId w:val="10"/>
  </w:num>
  <w:num w:numId="4" w16cid:durableId="1187527705">
    <w:abstractNumId w:val="5"/>
  </w:num>
  <w:num w:numId="5" w16cid:durableId="546336424">
    <w:abstractNumId w:val="4"/>
  </w:num>
  <w:num w:numId="6" w16cid:durableId="1857429080">
    <w:abstractNumId w:val="3"/>
  </w:num>
  <w:num w:numId="7" w16cid:durableId="762262653">
    <w:abstractNumId w:val="2"/>
  </w:num>
  <w:num w:numId="8" w16cid:durableId="21635181">
    <w:abstractNumId w:val="11"/>
  </w:num>
  <w:num w:numId="9" w16cid:durableId="1177158120">
    <w:abstractNumId w:val="9"/>
  </w:num>
  <w:num w:numId="10" w16cid:durableId="453984562">
    <w:abstractNumId w:val="8"/>
  </w:num>
  <w:num w:numId="11" w16cid:durableId="53358601">
    <w:abstractNumId w:val="7"/>
  </w:num>
  <w:num w:numId="12" w16cid:durableId="30037638">
    <w:abstractNumId w:val="6"/>
  </w:num>
  <w:num w:numId="13" w16cid:durableId="16586101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324"/>
    <w:rsid w:val="0002511E"/>
    <w:rsid w:val="0002795D"/>
    <w:rsid w:val="00035E04"/>
    <w:rsid w:val="00046775"/>
    <w:rsid w:val="00051902"/>
    <w:rsid w:val="00051C85"/>
    <w:rsid w:val="0006149E"/>
    <w:rsid w:val="0006197C"/>
    <w:rsid w:val="00074759"/>
    <w:rsid w:val="000754CE"/>
    <w:rsid w:val="000A21FD"/>
    <w:rsid w:val="000A3CF0"/>
    <w:rsid w:val="000A563B"/>
    <w:rsid w:val="000B5CF0"/>
    <w:rsid w:val="000D5873"/>
    <w:rsid w:val="000E02C0"/>
    <w:rsid w:val="000E140E"/>
    <w:rsid w:val="000E4770"/>
    <w:rsid w:val="000F352A"/>
    <w:rsid w:val="0010261B"/>
    <w:rsid w:val="00112046"/>
    <w:rsid w:val="00120495"/>
    <w:rsid w:val="00131E00"/>
    <w:rsid w:val="001479A9"/>
    <w:rsid w:val="00151F74"/>
    <w:rsid w:val="00165DC0"/>
    <w:rsid w:val="00172A27"/>
    <w:rsid w:val="0017568F"/>
    <w:rsid w:val="00176DA7"/>
    <w:rsid w:val="00177F03"/>
    <w:rsid w:val="0018546F"/>
    <w:rsid w:val="00191771"/>
    <w:rsid w:val="001933F9"/>
    <w:rsid w:val="00195AC6"/>
    <w:rsid w:val="00196D1D"/>
    <w:rsid w:val="001A286F"/>
    <w:rsid w:val="001A3646"/>
    <w:rsid w:val="001A410F"/>
    <w:rsid w:val="001A5390"/>
    <w:rsid w:val="001B75E4"/>
    <w:rsid w:val="001D2D98"/>
    <w:rsid w:val="001D76EA"/>
    <w:rsid w:val="001E7E78"/>
    <w:rsid w:val="001F6D67"/>
    <w:rsid w:val="002004E3"/>
    <w:rsid w:val="00204903"/>
    <w:rsid w:val="00212CA5"/>
    <w:rsid w:val="00225578"/>
    <w:rsid w:val="00227D50"/>
    <w:rsid w:val="00231E97"/>
    <w:rsid w:val="00245EE0"/>
    <w:rsid w:val="002512D8"/>
    <w:rsid w:val="0025642C"/>
    <w:rsid w:val="00261FAF"/>
    <w:rsid w:val="002627C5"/>
    <w:rsid w:val="0026741F"/>
    <w:rsid w:val="0027757E"/>
    <w:rsid w:val="0028276F"/>
    <w:rsid w:val="00283266"/>
    <w:rsid w:val="00284AB7"/>
    <w:rsid w:val="00286ED4"/>
    <w:rsid w:val="002A04A0"/>
    <w:rsid w:val="002A6989"/>
    <w:rsid w:val="002C4628"/>
    <w:rsid w:val="002C464C"/>
    <w:rsid w:val="002C7D9E"/>
    <w:rsid w:val="002D2381"/>
    <w:rsid w:val="002E7530"/>
    <w:rsid w:val="002F1B30"/>
    <w:rsid w:val="003171FD"/>
    <w:rsid w:val="003242B6"/>
    <w:rsid w:val="00332F7B"/>
    <w:rsid w:val="00333889"/>
    <w:rsid w:val="00333C7F"/>
    <w:rsid w:val="00354111"/>
    <w:rsid w:val="00363E4C"/>
    <w:rsid w:val="00376224"/>
    <w:rsid w:val="003773DF"/>
    <w:rsid w:val="003839F5"/>
    <w:rsid w:val="00394A63"/>
    <w:rsid w:val="003B1578"/>
    <w:rsid w:val="003B421A"/>
    <w:rsid w:val="003B6258"/>
    <w:rsid w:val="003C4930"/>
    <w:rsid w:val="003E4D6D"/>
    <w:rsid w:val="003E4F1D"/>
    <w:rsid w:val="003E588B"/>
    <w:rsid w:val="003E5DD8"/>
    <w:rsid w:val="003F4D10"/>
    <w:rsid w:val="00402260"/>
    <w:rsid w:val="004054F5"/>
    <w:rsid w:val="00405C52"/>
    <w:rsid w:val="00411C71"/>
    <w:rsid w:val="00416544"/>
    <w:rsid w:val="004229EB"/>
    <w:rsid w:val="004235F8"/>
    <w:rsid w:val="00424DD2"/>
    <w:rsid w:val="00445ABA"/>
    <w:rsid w:val="0045304D"/>
    <w:rsid w:val="004536E0"/>
    <w:rsid w:val="0045450C"/>
    <w:rsid w:val="00455325"/>
    <w:rsid w:val="00461813"/>
    <w:rsid w:val="00463BE1"/>
    <w:rsid w:val="00474BD4"/>
    <w:rsid w:val="004750AA"/>
    <w:rsid w:val="00485C75"/>
    <w:rsid w:val="0049125A"/>
    <w:rsid w:val="00496823"/>
    <w:rsid w:val="004A2C2A"/>
    <w:rsid w:val="004C77E9"/>
    <w:rsid w:val="004D3BB6"/>
    <w:rsid w:val="004D4257"/>
    <w:rsid w:val="004E5395"/>
    <w:rsid w:val="005019CA"/>
    <w:rsid w:val="00514C4F"/>
    <w:rsid w:val="00527A57"/>
    <w:rsid w:val="00532E70"/>
    <w:rsid w:val="00543E01"/>
    <w:rsid w:val="005620F6"/>
    <w:rsid w:val="00577CE0"/>
    <w:rsid w:val="00583E58"/>
    <w:rsid w:val="005864E1"/>
    <w:rsid w:val="005960E4"/>
    <w:rsid w:val="00596941"/>
    <w:rsid w:val="005A4083"/>
    <w:rsid w:val="005A57AE"/>
    <w:rsid w:val="005A7D7E"/>
    <w:rsid w:val="005B19EF"/>
    <w:rsid w:val="005B3603"/>
    <w:rsid w:val="005B3A32"/>
    <w:rsid w:val="005C21B1"/>
    <w:rsid w:val="005C7184"/>
    <w:rsid w:val="005C7284"/>
    <w:rsid w:val="005E4901"/>
    <w:rsid w:val="005E79DE"/>
    <w:rsid w:val="005F1D49"/>
    <w:rsid w:val="005F5FE3"/>
    <w:rsid w:val="00612386"/>
    <w:rsid w:val="0062009F"/>
    <w:rsid w:val="00623B81"/>
    <w:rsid w:val="00631786"/>
    <w:rsid w:val="006353F3"/>
    <w:rsid w:val="00645A0A"/>
    <w:rsid w:val="00650D94"/>
    <w:rsid w:val="00654F00"/>
    <w:rsid w:val="0066516F"/>
    <w:rsid w:val="00681FC2"/>
    <w:rsid w:val="00685BA9"/>
    <w:rsid w:val="00687BF4"/>
    <w:rsid w:val="00691799"/>
    <w:rsid w:val="0069470B"/>
    <w:rsid w:val="006972C6"/>
    <w:rsid w:val="00697888"/>
    <w:rsid w:val="006B1B61"/>
    <w:rsid w:val="006C71BD"/>
    <w:rsid w:val="006E02F9"/>
    <w:rsid w:val="006F2821"/>
    <w:rsid w:val="006F2FCF"/>
    <w:rsid w:val="006F3DB3"/>
    <w:rsid w:val="00700417"/>
    <w:rsid w:val="00722C60"/>
    <w:rsid w:val="007239F0"/>
    <w:rsid w:val="007352D6"/>
    <w:rsid w:val="0074143A"/>
    <w:rsid w:val="00747F68"/>
    <w:rsid w:val="00750D86"/>
    <w:rsid w:val="007964E2"/>
    <w:rsid w:val="007A501F"/>
    <w:rsid w:val="007B06D5"/>
    <w:rsid w:val="007B0F96"/>
    <w:rsid w:val="007D12FD"/>
    <w:rsid w:val="007D3384"/>
    <w:rsid w:val="007E00BD"/>
    <w:rsid w:val="007E16D8"/>
    <w:rsid w:val="007E2036"/>
    <w:rsid w:val="007E4102"/>
    <w:rsid w:val="007F06BA"/>
    <w:rsid w:val="00803D4D"/>
    <w:rsid w:val="0081116F"/>
    <w:rsid w:val="00814203"/>
    <w:rsid w:val="00814514"/>
    <w:rsid w:val="00834576"/>
    <w:rsid w:val="00863FE7"/>
    <w:rsid w:val="008710CD"/>
    <w:rsid w:val="00874FC5"/>
    <w:rsid w:val="00893B06"/>
    <w:rsid w:val="008C1CDB"/>
    <w:rsid w:val="008C2892"/>
    <w:rsid w:val="008C62E7"/>
    <w:rsid w:val="008D0DD7"/>
    <w:rsid w:val="008E2E7A"/>
    <w:rsid w:val="008E5E69"/>
    <w:rsid w:val="009013B6"/>
    <w:rsid w:val="00910E4B"/>
    <w:rsid w:val="00922BA5"/>
    <w:rsid w:val="0092793F"/>
    <w:rsid w:val="0093019B"/>
    <w:rsid w:val="00945E8F"/>
    <w:rsid w:val="00951FB6"/>
    <w:rsid w:val="00960744"/>
    <w:rsid w:val="00962D83"/>
    <w:rsid w:val="00962DE3"/>
    <w:rsid w:val="00973B70"/>
    <w:rsid w:val="00993199"/>
    <w:rsid w:val="00995815"/>
    <w:rsid w:val="009A2658"/>
    <w:rsid w:val="009A6148"/>
    <w:rsid w:val="009A645E"/>
    <w:rsid w:val="009B098B"/>
    <w:rsid w:val="009C1E11"/>
    <w:rsid w:val="009D4A61"/>
    <w:rsid w:val="009D6CDC"/>
    <w:rsid w:val="009F3E38"/>
    <w:rsid w:val="00A0205D"/>
    <w:rsid w:val="00A107A5"/>
    <w:rsid w:val="00A12F65"/>
    <w:rsid w:val="00A14978"/>
    <w:rsid w:val="00A14BA0"/>
    <w:rsid w:val="00A201CD"/>
    <w:rsid w:val="00A22FB4"/>
    <w:rsid w:val="00A310F1"/>
    <w:rsid w:val="00A34B66"/>
    <w:rsid w:val="00A463C2"/>
    <w:rsid w:val="00A46A7F"/>
    <w:rsid w:val="00A4740B"/>
    <w:rsid w:val="00A536C7"/>
    <w:rsid w:val="00A62C4B"/>
    <w:rsid w:val="00A715AE"/>
    <w:rsid w:val="00A81814"/>
    <w:rsid w:val="00A876BB"/>
    <w:rsid w:val="00AA0352"/>
    <w:rsid w:val="00AA17AA"/>
    <w:rsid w:val="00AA4E68"/>
    <w:rsid w:val="00AB2C58"/>
    <w:rsid w:val="00AB4012"/>
    <w:rsid w:val="00AC0F70"/>
    <w:rsid w:val="00AD1587"/>
    <w:rsid w:val="00AD3EF6"/>
    <w:rsid w:val="00AD7C28"/>
    <w:rsid w:val="00AE228A"/>
    <w:rsid w:val="00AF06D5"/>
    <w:rsid w:val="00AF5534"/>
    <w:rsid w:val="00AF5A5E"/>
    <w:rsid w:val="00AF6D89"/>
    <w:rsid w:val="00B027DB"/>
    <w:rsid w:val="00B2304A"/>
    <w:rsid w:val="00B23AF1"/>
    <w:rsid w:val="00B41B0C"/>
    <w:rsid w:val="00B4486D"/>
    <w:rsid w:val="00B450BF"/>
    <w:rsid w:val="00B509A9"/>
    <w:rsid w:val="00B5345A"/>
    <w:rsid w:val="00B56D6A"/>
    <w:rsid w:val="00B63F04"/>
    <w:rsid w:val="00B920E1"/>
    <w:rsid w:val="00B94614"/>
    <w:rsid w:val="00BA6439"/>
    <w:rsid w:val="00BC0BA4"/>
    <w:rsid w:val="00BC3079"/>
    <w:rsid w:val="00BC3B8C"/>
    <w:rsid w:val="00BC5887"/>
    <w:rsid w:val="00BC61E5"/>
    <w:rsid w:val="00BE67DB"/>
    <w:rsid w:val="00BF29C7"/>
    <w:rsid w:val="00C1787D"/>
    <w:rsid w:val="00C255A0"/>
    <w:rsid w:val="00C26C69"/>
    <w:rsid w:val="00C33B90"/>
    <w:rsid w:val="00C552F7"/>
    <w:rsid w:val="00C6422E"/>
    <w:rsid w:val="00C701C4"/>
    <w:rsid w:val="00C75169"/>
    <w:rsid w:val="00C80F1E"/>
    <w:rsid w:val="00C811B2"/>
    <w:rsid w:val="00C8348F"/>
    <w:rsid w:val="00C86D65"/>
    <w:rsid w:val="00C92096"/>
    <w:rsid w:val="00C95668"/>
    <w:rsid w:val="00CB050C"/>
    <w:rsid w:val="00CC0284"/>
    <w:rsid w:val="00CC4E39"/>
    <w:rsid w:val="00CD05F9"/>
    <w:rsid w:val="00CE0644"/>
    <w:rsid w:val="00CF491E"/>
    <w:rsid w:val="00CF512F"/>
    <w:rsid w:val="00D0343F"/>
    <w:rsid w:val="00D16E08"/>
    <w:rsid w:val="00D427BE"/>
    <w:rsid w:val="00D631C4"/>
    <w:rsid w:val="00D63445"/>
    <w:rsid w:val="00D77A69"/>
    <w:rsid w:val="00D969D1"/>
    <w:rsid w:val="00DA018D"/>
    <w:rsid w:val="00DC63F0"/>
    <w:rsid w:val="00DE0B60"/>
    <w:rsid w:val="00DE15EF"/>
    <w:rsid w:val="00DF2809"/>
    <w:rsid w:val="00DF77EC"/>
    <w:rsid w:val="00E03E06"/>
    <w:rsid w:val="00E04291"/>
    <w:rsid w:val="00E11734"/>
    <w:rsid w:val="00E27B75"/>
    <w:rsid w:val="00E454D2"/>
    <w:rsid w:val="00E5059A"/>
    <w:rsid w:val="00E57F39"/>
    <w:rsid w:val="00E64B22"/>
    <w:rsid w:val="00E83033"/>
    <w:rsid w:val="00E933B9"/>
    <w:rsid w:val="00E9567E"/>
    <w:rsid w:val="00E9702F"/>
    <w:rsid w:val="00EB3D12"/>
    <w:rsid w:val="00EF107B"/>
    <w:rsid w:val="00EF1FA9"/>
    <w:rsid w:val="00EF4109"/>
    <w:rsid w:val="00EF4C70"/>
    <w:rsid w:val="00F15DDD"/>
    <w:rsid w:val="00F22476"/>
    <w:rsid w:val="00F249A5"/>
    <w:rsid w:val="00F25A59"/>
    <w:rsid w:val="00F360C1"/>
    <w:rsid w:val="00F532E5"/>
    <w:rsid w:val="00F61809"/>
    <w:rsid w:val="00F655E9"/>
    <w:rsid w:val="00F74161"/>
    <w:rsid w:val="00F807FA"/>
    <w:rsid w:val="00FA03DE"/>
    <w:rsid w:val="00FA12B8"/>
    <w:rsid w:val="00FA166E"/>
    <w:rsid w:val="00FB1300"/>
    <w:rsid w:val="00FB70F9"/>
    <w:rsid w:val="00FC28F4"/>
    <w:rsid w:val="00FC7940"/>
    <w:rsid w:val="00FE3930"/>
    <w:rsid w:val="00FF3990"/>
    <w:rsid w:val="00FF48EB"/>
    <w:rsid w:val="01495ADC"/>
    <w:rsid w:val="01EB2670"/>
    <w:rsid w:val="01F33332"/>
    <w:rsid w:val="02DE1C3A"/>
    <w:rsid w:val="033938E8"/>
    <w:rsid w:val="03C85DCA"/>
    <w:rsid w:val="040350D3"/>
    <w:rsid w:val="04365AE8"/>
    <w:rsid w:val="04916555"/>
    <w:rsid w:val="04D12A40"/>
    <w:rsid w:val="05010A2F"/>
    <w:rsid w:val="054D6277"/>
    <w:rsid w:val="059301EE"/>
    <w:rsid w:val="059440D4"/>
    <w:rsid w:val="06A32B36"/>
    <w:rsid w:val="07457E31"/>
    <w:rsid w:val="07725B67"/>
    <w:rsid w:val="07C618FD"/>
    <w:rsid w:val="083C6DD7"/>
    <w:rsid w:val="08454430"/>
    <w:rsid w:val="08B34D46"/>
    <w:rsid w:val="08EA3CC0"/>
    <w:rsid w:val="08F33429"/>
    <w:rsid w:val="092C52D8"/>
    <w:rsid w:val="09A7110E"/>
    <w:rsid w:val="09D61A49"/>
    <w:rsid w:val="09F90FFC"/>
    <w:rsid w:val="0A0575B3"/>
    <w:rsid w:val="0A1E03A8"/>
    <w:rsid w:val="0A7C1109"/>
    <w:rsid w:val="0A8C785C"/>
    <w:rsid w:val="0ACA0818"/>
    <w:rsid w:val="0BD00F31"/>
    <w:rsid w:val="0C24246D"/>
    <w:rsid w:val="0C386D8B"/>
    <w:rsid w:val="0C4D1FCA"/>
    <w:rsid w:val="0C7801D5"/>
    <w:rsid w:val="0DBB09B4"/>
    <w:rsid w:val="0DD32EF3"/>
    <w:rsid w:val="0E017038"/>
    <w:rsid w:val="0F3F5955"/>
    <w:rsid w:val="10521261"/>
    <w:rsid w:val="109934F4"/>
    <w:rsid w:val="11334475"/>
    <w:rsid w:val="117E73FD"/>
    <w:rsid w:val="118C0460"/>
    <w:rsid w:val="119B1EF8"/>
    <w:rsid w:val="11BF5CAE"/>
    <w:rsid w:val="11E67A3A"/>
    <w:rsid w:val="131A7929"/>
    <w:rsid w:val="148D00E6"/>
    <w:rsid w:val="14B552B1"/>
    <w:rsid w:val="14EF30B1"/>
    <w:rsid w:val="1594761D"/>
    <w:rsid w:val="15CE4A3F"/>
    <w:rsid w:val="16630C9C"/>
    <w:rsid w:val="16BE15E3"/>
    <w:rsid w:val="17357E77"/>
    <w:rsid w:val="175747C3"/>
    <w:rsid w:val="177349F5"/>
    <w:rsid w:val="17910AC0"/>
    <w:rsid w:val="17AA5B8D"/>
    <w:rsid w:val="18044249"/>
    <w:rsid w:val="18E6184A"/>
    <w:rsid w:val="18FD51C4"/>
    <w:rsid w:val="19035259"/>
    <w:rsid w:val="19267B2A"/>
    <w:rsid w:val="19326D8E"/>
    <w:rsid w:val="19363FD2"/>
    <w:rsid w:val="196F4CAD"/>
    <w:rsid w:val="197A3A4C"/>
    <w:rsid w:val="198D1159"/>
    <w:rsid w:val="1B721E76"/>
    <w:rsid w:val="1B8E265A"/>
    <w:rsid w:val="1C071008"/>
    <w:rsid w:val="1C7C6EEB"/>
    <w:rsid w:val="1C8C49E6"/>
    <w:rsid w:val="1C9A4594"/>
    <w:rsid w:val="1D0E666E"/>
    <w:rsid w:val="1D28116E"/>
    <w:rsid w:val="1D7A5798"/>
    <w:rsid w:val="1DD10C4A"/>
    <w:rsid w:val="1E165677"/>
    <w:rsid w:val="1E361308"/>
    <w:rsid w:val="1E4A2124"/>
    <w:rsid w:val="1E557239"/>
    <w:rsid w:val="1E9A45AB"/>
    <w:rsid w:val="1EAB1EFC"/>
    <w:rsid w:val="1FC565B3"/>
    <w:rsid w:val="1FC666F8"/>
    <w:rsid w:val="1FEF452C"/>
    <w:rsid w:val="2038048E"/>
    <w:rsid w:val="204E2136"/>
    <w:rsid w:val="20975912"/>
    <w:rsid w:val="20B139E6"/>
    <w:rsid w:val="20BA3699"/>
    <w:rsid w:val="20EC781D"/>
    <w:rsid w:val="20F97323"/>
    <w:rsid w:val="20FA7134"/>
    <w:rsid w:val="21222EA6"/>
    <w:rsid w:val="219C06D5"/>
    <w:rsid w:val="219C783B"/>
    <w:rsid w:val="21C77ECA"/>
    <w:rsid w:val="2248088C"/>
    <w:rsid w:val="22721D82"/>
    <w:rsid w:val="22AA6929"/>
    <w:rsid w:val="22EA331F"/>
    <w:rsid w:val="22ED54CE"/>
    <w:rsid w:val="230727E6"/>
    <w:rsid w:val="23702ED8"/>
    <w:rsid w:val="238458FD"/>
    <w:rsid w:val="238E5A67"/>
    <w:rsid w:val="24352438"/>
    <w:rsid w:val="24A26B0C"/>
    <w:rsid w:val="24B62B1A"/>
    <w:rsid w:val="24EB2C33"/>
    <w:rsid w:val="24F37CFF"/>
    <w:rsid w:val="25485D91"/>
    <w:rsid w:val="25BA14BE"/>
    <w:rsid w:val="25C91D1B"/>
    <w:rsid w:val="26521A65"/>
    <w:rsid w:val="26651E64"/>
    <w:rsid w:val="267960BA"/>
    <w:rsid w:val="277F7AFD"/>
    <w:rsid w:val="27E32718"/>
    <w:rsid w:val="288365FE"/>
    <w:rsid w:val="28AB3FC6"/>
    <w:rsid w:val="28C52F4D"/>
    <w:rsid w:val="28E921FE"/>
    <w:rsid w:val="2911324A"/>
    <w:rsid w:val="299D688A"/>
    <w:rsid w:val="2A0D5B6B"/>
    <w:rsid w:val="2A9C54D4"/>
    <w:rsid w:val="2AF14AEA"/>
    <w:rsid w:val="2B473BDB"/>
    <w:rsid w:val="2BD4133C"/>
    <w:rsid w:val="2C1A6D1E"/>
    <w:rsid w:val="2C4501C9"/>
    <w:rsid w:val="2C4C5DC2"/>
    <w:rsid w:val="2C754092"/>
    <w:rsid w:val="2C881785"/>
    <w:rsid w:val="2D0B7F40"/>
    <w:rsid w:val="2D8334A4"/>
    <w:rsid w:val="2D8E2646"/>
    <w:rsid w:val="2DD052EA"/>
    <w:rsid w:val="2DFB6420"/>
    <w:rsid w:val="2E3A3C42"/>
    <w:rsid w:val="2E492F3D"/>
    <w:rsid w:val="2E521098"/>
    <w:rsid w:val="2E637E50"/>
    <w:rsid w:val="2E9043BD"/>
    <w:rsid w:val="2EA61B8D"/>
    <w:rsid w:val="2F0A7A2D"/>
    <w:rsid w:val="2F0D16F2"/>
    <w:rsid w:val="2F205DEA"/>
    <w:rsid w:val="2F385953"/>
    <w:rsid w:val="2F410D8B"/>
    <w:rsid w:val="2FB73687"/>
    <w:rsid w:val="305816CF"/>
    <w:rsid w:val="309F7E4F"/>
    <w:rsid w:val="30D036E3"/>
    <w:rsid w:val="336A32E6"/>
    <w:rsid w:val="33A37657"/>
    <w:rsid w:val="33F15EC1"/>
    <w:rsid w:val="34C5025B"/>
    <w:rsid w:val="34C84E1A"/>
    <w:rsid w:val="356C0F53"/>
    <w:rsid w:val="35CE181C"/>
    <w:rsid w:val="35E365B0"/>
    <w:rsid w:val="36392CAE"/>
    <w:rsid w:val="364C3FD7"/>
    <w:rsid w:val="366911B2"/>
    <w:rsid w:val="36CF3500"/>
    <w:rsid w:val="36D80C74"/>
    <w:rsid w:val="37323EA1"/>
    <w:rsid w:val="37B657FD"/>
    <w:rsid w:val="38395D85"/>
    <w:rsid w:val="38665B78"/>
    <w:rsid w:val="396E24AB"/>
    <w:rsid w:val="3A1D5549"/>
    <w:rsid w:val="3A380236"/>
    <w:rsid w:val="3AB11211"/>
    <w:rsid w:val="3B5F18CD"/>
    <w:rsid w:val="3C0246E6"/>
    <w:rsid w:val="3C207274"/>
    <w:rsid w:val="3CB840AB"/>
    <w:rsid w:val="3D0D2448"/>
    <w:rsid w:val="3D514F6E"/>
    <w:rsid w:val="3D766532"/>
    <w:rsid w:val="3D7F25B0"/>
    <w:rsid w:val="3DA108F7"/>
    <w:rsid w:val="3DCB60AB"/>
    <w:rsid w:val="3DCE3671"/>
    <w:rsid w:val="3DDA56CF"/>
    <w:rsid w:val="3DDF38E5"/>
    <w:rsid w:val="3E026759"/>
    <w:rsid w:val="3E243563"/>
    <w:rsid w:val="3EDA3550"/>
    <w:rsid w:val="3F3D5F83"/>
    <w:rsid w:val="3FAD6C40"/>
    <w:rsid w:val="407F7E71"/>
    <w:rsid w:val="408D4AA7"/>
    <w:rsid w:val="40AE0093"/>
    <w:rsid w:val="40DA121E"/>
    <w:rsid w:val="410060ED"/>
    <w:rsid w:val="41192D99"/>
    <w:rsid w:val="41641440"/>
    <w:rsid w:val="41BA0692"/>
    <w:rsid w:val="41DA6634"/>
    <w:rsid w:val="42675C8D"/>
    <w:rsid w:val="42724C6A"/>
    <w:rsid w:val="42741365"/>
    <w:rsid w:val="43F0162A"/>
    <w:rsid w:val="44BF2763"/>
    <w:rsid w:val="45145AD8"/>
    <w:rsid w:val="451E1F6A"/>
    <w:rsid w:val="45342A9B"/>
    <w:rsid w:val="45C337C0"/>
    <w:rsid w:val="45D66243"/>
    <w:rsid w:val="46021B7F"/>
    <w:rsid w:val="46163092"/>
    <w:rsid w:val="468E6A3D"/>
    <w:rsid w:val="46C63A78"/>
    <w:rsid w:val="46D85FB0"/>
    <w:rsid w:val="46F54ED8"/>
    <w:rsid w:val="46FA2233"/>
    <w:rsid w:val="471F6648"/>
    <w:rsid w:val="47975D8F"/>
    <w:rsid w:val="47DA4121"/>
    <w:rsid w:val="481C7C04"/>
    <w:rsid w:val="48895A16"/>
    <w:rsid w:val="48B2285D"/>
    <w:rsid w:val="49086F68"/>
    <w:rsid w:val="491907EE"/>
    <w:rsid w:val="49653F33"/>
    <w:rsid w:val="49B9076E"/>
    <w:rsid w:val="49DF3ACD"/>
    <w:rsid w:val="4BF86C08"/>
    <w:rsid w:val="4BFE12C5"/>
    <w:rsid w:val="4BFF5A0C"/>
    <w:rsid w:val="4C021AD1"/>
    <w:rsid w:val="4C5732AE"/>
    <w:rsid w:val="4D6A293B"/>
    <w:rsid w:val="4D6D0B67"/>
    <w:rsid w:val="4DB15246"/>
    <w:rsid w:val="4E613DBF"/>
    <w:rsid w:val="4EB0325E"/>
    <w:rsid w:val="4EDF6337"/>
    <w:rsid w:val="4EF5709E"/>
    <w:rsid w:val="4F423D71"/>
    <w:rsid w:val="511F5871"/>
    <w:rsid w:val="517F6C42"/>
    <w:rsid w:val="519D1EDD"/>
    <w:rsid w:val="51A353C4"/>
    <w:rsid w:val="51AB3181"/>
    <w:rsid w:val="51CD54EC"/>
    <w:rsid w:val="52957BF8"/>
    <w:rsid w:val="529E5EC7"/>
    <w:rsid w:val="52C80D77"/>
    <w:rsid w:val="52E61EA6"/>
    <w:rsid w:val="537B75DF"/>
    <w:rsid w:val="53975CB4"/>
    <w:rsid w:val="53BA301E"/>
    <w:rsid w:val="54F055FF"/>
    <w:rsid w:val="558436B8"/>
    <w:rsid w:val="561E5C7C"/>
    <w:rsid w:val="562447CF"/>
    <w:rsid w:val="56791343"/>
    <w:rsid w:val="5706579E"/>
    <w:rsid w:val="581603CC"/>
    <w:rsid w:val="582D361B"/>
    <w:rsid w:val="58445EDE"/>
    <w:rsid w:val="585C521B"/>
    <w:rsid w:val="58E27415"/>
    <w:rsid w:val="598C5317"/>
    <w:rsid w:val="59C71875"/>
    <w:rsid w:val="5A576C55"/>
    <w:rsid w:val="5AB51D7B"/>
    <w:rsid w:val="5BE70F15"/>
    <w:rsid w:val="5CC03600"/>
    <w:rsid w:val="5CC94364"/>
    <w:rsid w:val="5D084AE8"/>
    <w:rsid w:val="5D1C7A23"/>
    <w:rsid w:val="5D311906"/>
    <w:rsid w:val="5D4939BA"/>
    <w:rsid w:val="5DDE5E00"/>
    <w:rsid w:val="5DEE66F6"/>
    <w:rsid w:val="5E45509D"/>
    <w:rsid w:val="5E5813F0"/>
    <w:rsid w:val="5F5A3181"/>
    <w:rsid w:val="5FA147A8"/>
    <w:rsid w:val="603456B3"/>
    <w:rsid w:val="60612A1A"/>
    <w:rsid w:val="609573EE"/>
    <w:rsid w:val="60BC0878"/>
    <w:rsid w:val="60D05436"/>
    <w:rsid w:val="61327F95"/>
    <w:rsid w:val="61D339BD"/>
    <w:rsid w:val="62A12979"/>
    <w:rsid w:val="636C535B"/>
    <w:rsid w:val="637165B0"/>
    <w:rsid w:val="639D394F"/>
    <w:rsid w:val="63AB2BB6"/>
    <w:rsid w:val="63FA3A9C"/>
    <w:rsid w:val="642B0E11"/>
    <w:rsid w:val="64471D5E"/>
    <w:rsid w:val="64E856D1"/>
    <w:rsid w:val="64EC4B6E"/>
    <w:rsid w:val="64F81F42"/>
    <w:rsid w:val="650F48A6"/>
    <w:rsid w:val="65973E65"/>
    <w:rsid w:val="65BE5C54"/>
    <w:rsid w:val="66004510"/>
    <w:rsid w:val="66DC71C2"/>
    <w:rsid w:val="66EF7DED"/>
    <w:rsid w:val="67212A19"/>
    <w:rsid w:val="672E0BEA"/>
    <w:rsid w:val="67C52446"/>
    <w:rsid w:val="67DB7A5E"/>
    <w:rsid w:val="67E00F85"/>
    <w:rsid w:val="685D30C9"/>
    <w:rsid w:val="688E03C7"/>
    <w:rsid w:val="68AB3BAD"/>
    <w:rsid w:val="694F7CAA"/>
    <w:rsid w:val="699D50A6"/>
    <w:rsid w:val="699E2ECF"/>
    <w:rsid w:val="69B81375"/>
    <w:rsid w:val="6A773BC5"/>
    <w:rsid w:val="6A7842A9"/>
    <w:rsid w:val="6B0D6476"/>
    <w:rsid w:val="6B222202"/>
    <w:rsid w:val="6BBF040D"/>
    <w:rsid w:val="6BF879B6"/>
    <w:rsid w:val="6C8147C1"/>
    <w:rsid w:val="6C837764"/>
    <w:rsid w:val="6D0F220A"/>
    <w:rsid w:val="6D226CCD"/>
    <w:rsid w:val="6DCA1BE7"/>
    <w:rsid w:val="6E5A05C6"/>
    <w:rsid w:val="6F35472A"/>
    <w:rsid w:val="6F83454B"/>
    <w:rsid w:val="6FA4028F"/>
    <w:rsid w:val="6FBD026F"/>
    <w:rsid w:val="6FD01ECE"/>
    <w:rsid w:val="6FF40C7A"/>
    <w:rsid w:val="70452442"/>
    <w:rsid w:val="706D6545"/>
    <w:rsid w:val="707618E7"/>
    <w:rsid w:val="70797935"/>
    <w:rsid w:val="70A90822"/>
    <w:rsid w:val="70C203BC"/>
    <w:rsid w:val="71071273"/>
    <w:rsid w:val="713C1F27"/>
    <w:rsid w:val="715274F3"/>
    <w:rsid w:val="717A3BDF"/>
    <w:rsid w:val="71DA3D67"/>
    <w:rsid w:val="72291197"/>
    <w:rsid w:val="728333E3"/>
    <w:rsid w:val="72A4209A"/>
    <w:rsid w:val="72C34248"/>
    <w:rsid w:val="72D252ED"/>
    <w:rsid w:val="745C1C92"/>
    <w:rsid w:val="746C3D17"/>
    <w:rsid w:val="74D37388"/>
    <w:rsid w:val="74E45822"/>
    <w:rsid w:val="7551505F"/>
    <w:rsid w:val="75C03DEB"/>
    <w:rsid w:val="76D1182D"/>
    <w:rsid w:val="77354EC9"/>
    <w:rsid w:val="775B7FEA"/>
    <w:rsid w:val="7788073A"/>
    <w:rsid w:val="77CC0ABD"/>
    <w:rsid w:val="78170419"/>
    <w:rsid w:val="78243627"/>
    <w:rsid w:val="78AB6063"/>
    <w:rsid w:val="78EE1417"/>
    <w:rsid w:val="791834A5"/>
    <w:rsid w:val="79265895"/>
    <w:rsid w:val="79395ACF"/>
    <w:rsid w:val="79503496"/>
    <w:rsid w:val="7A6A2727"/>
    <w:rsid w:val="7C101C4C"/>
    <w:rsid w:val="7C1F5ECA"/>
    <w:rsid w:val="7C2475D5"/>
    <w:rsid w:val="7C3A212E"/>
    <w:rsid w:val="7C3C6D15"/>
    <w:rsid w:val="7CD71395"/>
    <w:rsid w:val="7CFB69ED"/>
    <w:rsid w:val="7D492BDA"/>
    <w:rsid w:val="7E18316C"/>
    <w:rsid w:val="7ED876BC"/>
    <w:rsid w:val="7EF33176"/>
    <w:rsid w:val="7F2F52FE"/>
    <w:rsid w:val="7F7E3525"/>
    <w:rsid w:val="7FE27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C31BCA"/>
  <w15:docId w15:val="{8D1839C1-CFBD-40CC-9AC4-CEF09460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qFormat="1"/>
    <w:lsdException w:name="footer" w:uiPriority="99"/>
    <w:lsdException w:name="caption" w:semiHidden="1" w:unhideWhenUsed="1" w:qFormat="1"/>
    <w:lsdException w:name="footnote reference"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27A57"/>
    <w:pPr>
      <w:widowControl w:val="0"/>
      <w:spacing w:line="360" w:lineRule="auto"/>
      <w:ind w:firstLineChars="200" w:firstLine="200"/>
      <w:jc w:val="both"/>
    </w:pPr>
    <w:rPr>
      <w:kern w:val="2"/>
      <w:sz w:val="21"/>
      <w:szCs w:val="21"/>
    </w:rPr>
  </w:style>
  <w:style w:type="paragraph" w:styleId="1">
    <w:name w:val="heading 1"/>
    <w:basedOn w:val="a"/>
    <w:next w:val="a"/>
    <w:qFormat/>
    <w:rsid w:val="001A286F"/>
    <w:pPr>
      <w:keepNext/>
      <w:keepLines/>
      <w:ind w:firstLineChars="0" w:firstLine="0"/>
      <w:jc w:val="center"/>
      <w:outlineLvl w:val="0"/>
    </w:pPr>
    <w:rPr>
      <w:b/>
      <w:kern w:val="44"/>
      <w:sz w:val="28"/>
    </w:rPr>
  </w:style>
  <w:style w:type="paragraph" w:styleId="2">
    <w:name w:val="heading 2"/>
    <w:basedOn w:val="a"/>
    <w:next w:val="a"/>
    <w:unhideWhenUsed/>
    <w:qFormat/>
    <w:rsid w:val="00527A57"/>
    <w:pPr>
      <w:keepNext/>
      <w:keepLines/>
      <w:ind w:firstLineChars="0" w:firstLine="0"/>
      <w:outlineLvl w:val="1"/>
    </w:pPr>
    <w:rPr>
      <w:rFonts w:ascii="Arial" w:hAnsi="Arial"/>
      <w:b/>
      <w:sz w:val="24"/>
    </w:rPr>
  </w:style>
  <w:style w:type="paragraph" w:styleId="3">
    <w:name w:val="heading 3"/>
    <w:basedOn w:val="a"/>
    <w:next w:val="a"/>
    <w:link w:val="30"/>
    <w:unhideWhenUsed/>
    <w:qFormat/>
    <w:rsid w:val="00527A57"/>
    <w:pPr>
      <w:keepNext/>
      <w:keepLines/>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qFormat/>
    <w:rPr>
      <w:b/>
    </w:rPr>
  </w:style>
  <w:style w:type="paragraph" w:styleId="a5">
    <w:name w:val="header"/>
    <w:basedOn w:val="a"/>
    <w:link w:val="a6"/>
    <w:rsid w:val="00B9461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94614"/>
    <w:rPr>
      <w:kern w:val="2"/>
      <w:sz w:val="18"/>
      <w:szCs w:val="18"/>
    </w:rPr>
  </w:style>
  <w:style w:type="paragraph" w:styleId="a7">
    <w:name w:val="footer"/>
    <w:basedOn w:val="a"/>
    <w:link w:val="a8"/>
    <w:uiPriority w:val="99"/>
    <w:rsid w:val="00B94614"/>
    <w:pPr>
      <w:tabs>
        <w:tab w:val="center" w:pos="4153"/>
        <w:tab w:val="right" w:pos="8306"/>
      </w:tabs>
      <w:snapToGrid w:val="0"/>
      <w:jc w:val="left"/>
    </w:pPr>
    <w:rPr>
      <w:sz w:val="18"/>
      <w:szCs w:val="18"/>
    </w:rPr>
  </w:style>
  <w:style w:type="character" w:customStyle="1" w:styleId="a8">
    <w:name w:val="页脚 字符"/>
    <w:basedOn w:val="a0"/>
    <w:link w:val="a7"/>
    <w:uiPriority w:val="99"/>
    <w:rsid w:val="00B94614"/>
    <w:rPr>
      <w:kern w:val="2"/>
      <w:sz w:val="18"/>
      <w:szCs w:val="18"/>
    </w:rPr>
  </w:style>
  <w:style w:type="paragraph" w:styleId="a9">
    <w:name w:val="List Paragraph"/>
    <w:basedOn w:val="a"/>
    <w:uiPriority w:val="99"/>
    <w:rsid w:val="00BC3B8C"/>
    <w:pPr>
      <w:ind w:firstLine="420"/>
    </w:pPr>
  </w:style>
  <w:style w:type="paragraph" w:styleId="aa">
    <w:name w:val="footnote text"/>
    <w:basedOn w:val="a"/>
    <w:link w:val="ab"/>
    <w:uiPriority w:val="99"/>
    <w:unhideWhenUsed/>
    <w:qFormat/>
    <w:rsid w:val="00A201CD"/>
    <w:pPr>
      <w:snapToGrid w:val="0"/>
      <w:jc w:val="left"/>
    </w:pPr>
    <w:rPr>
      <w:rFonts w:asciiTheme="minorHAnsi" w:eastAsiaTheme="minorEastAsia" w:hAnsiTheme="minorHAnsi" w:cstheme="minorBidi"/>
      <w:sz w:val="18"/>
      <w:szCs w:val="18"/>
    </w:rPr>
  </w:style>
  <w:style w:type="character" w:customStyle="1" w:styleId="ab">
    <w:name w:val="脚注文本 字符"/>
    <w:basedOn w:val="a0"/>
    <w:link w:val="aa"/>
    <w:uiPriority w:val="99"/>
    <w:qFormat/>
    <w:rsid w:val="00A201CD"/>
    <w:rPr>
      <w:rFonts w:asciiTheme="minorHAnsi" w:eastAsiaTheme="minorEastAsia" w:hAnsiTheme="minorHAnsi" w:cstheme="minorBidi"/>
      <w:kern w:val="2"/>
      <w:sz w:val="18"/>
      <w:szCs w:val="18"/>
    </w:rPr>
  </w:style>
  <w:style w:type="character" w:styleId="ac">
    <w:name w:val="footnote reference"/>
    <w:basedOn w:val="a0"/>
    <w:uiPriority w:val="99"/>
    <w:unhideWhenUsed/>
    <w:qFormat/>
    <w:rsid w:val="00A201CD"/>
    <w:rPr>
      <w:vertAlign w:val="superscript"/>
    </w:rPr>
  </w:style>
  <w:style w:type="character" w:customStyle="1" w:styleId="30">
    <w:name w:val="标题 3 字符"/>
    <w:basedOn w:val="a0"/>
    <w:link w:val="3"/>
    <w:rsid w:val="00527A57"/>
    <w:rPr>
      <w:rFonts w:eastAsia="黑体"/>
      <w:bCs/>
      <w:kern w:val="2"/>
      <w:sz w:val="21"/>
      <w:szCs w:val="32"/>
    </w:rPr>
  </w:style>
  <w:style w:type="character" w:styleId="ad">
    <w:name w:val="Subtle Emphasis"/>
    <w:basedOn w:val="a0"/>
    <w:uiPriority w:val="19"/>
    <w:qFormat/>
    <w:rsid w:val="00962D83"/>
    <w:rPr>
      <w:i/>
      <w:iCs/>
      <w:color w:val="404040" w:themeColor="text1" w:themeTint="BF"/>
    </w:rPr>
  </w:style>
  <w:style w:type="paragraph" w:styleId="TOC1">
    <w:name w:val="toc 1"/>
    <w:basedOn w:val="a"/>
    <w:next w:val="a"/>
    <w:uiPriority w:val="39"/>
    <w:rsid w:val="00962D83"/>
    <w:pPr>
      <w:widowControl/>
      <w:spacing w:before="240" w:after="120" w:line="240" w:lineRule="auto"/>
      <w:ind w:firstLineChars="0" w:firstLine="0"/>
      <w:jc w:val="left"/>
    </w:pPr>
    <w:rPr>
      <w:rFonts w:asciiTheme="minorHAnsi" w:eastAsiaTheme="minorHAnsi" w:cstheme="minorBidi"/>
      <w:b/>
      <w:bCs/>
      <w:kern w:val="0"/>
      <w:sz w:val="20"/>
      <w:szCs w:val="20"/>
      <w:lang w:eastAsia="en-US"/>
    </w:rPr>
  </w:style>
  <w:style w:type="character" w:styleId="ae">
    <w:name w:val="Hyperlink"/>
    <w:basedOn w:val="a0"/>
    <w:rsid w:val="00612386"/>
    <w:rPr>
      <w:color w:val="0563C1" w:themeColor="hyperlink"/>
      <w:u w:val="single"/>
    </w:rPr>
  </w:style>
  <w:style w:type="character" w:styleId="af">
    <w:name w:val="Unresolved Mention"/>
    <w:basedOn w:val="a0"/>
    <w:uiPriority w:val="99"/>
    <w:semiHidden/>
    <w:unhideWhenUsed/>
    <w:rsid w:val="00612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89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oleObject" Target="embeddings/oleObject4.bin"/><Relationship Id="rId39" Type="http://schemas.openxmlformats.org/officeDocument/2006/relationships/oleObject" Target="embeddings/oleObject5.bin"/><Relationship Id="rId21" Type="http://schemas.openxmlformats.org/officeDocument/2006/relationships/oleObject" Target="embeddings/oleObject2.bin"/><Relationship Id="rId34" Type="http://schemas.openxmlformats.org/officeDocument/2006/relationships/image" Target="media/image15.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oleObject" Target="embeddings/oleObject8.bin"/><Relationship Id="rId53" Type="http://schemas.openxmlformats.org/officeDocument/2006/relationships/image" Target="media/image30.emf"/><Relationship Id="rId58"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image" Target="media/image38.emf"/><Relationship Id="rId1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33.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6.emf"/><Relationship Id="rId20" Type="http://schemas.openxmlformats.org/officeDocument/2006/relationships/image" Target="media/image4.wmf"/><Relationship Id="rId41" Type="http://schemas.openxmlformats.org/officeDocument/2006/relationships/oleObject" Target="embeddings/oleObject6.bin"/><Relationship Id="rId54" Type="http://schemas.openxmlformats.org/officeDocument/2006/relationships/image" Target="media/image31.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image" Target="media/image26.wmf"/><Relationship Id="rId57" Type="http://schemas.openxmlformats.org/officeDocument/2006/relationships/image" Target="media/image34.emf"/><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image" Target="media/image29.emf"/><Relationship Id="rId60" Type="http://schemas.openxmlformats.org/officeDocument/2006/relationships/image" Target="media/image37.emf"/><Relationship Id="rId4" Type="http://schemas.openxmlformats.org/officeDocument/2006/relationships/styles" Target="style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lxpcr@shn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9A12FB-1546-4E82-962E-198007D5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18</Pages>
  <Words>2650</Words>
  <Characters>15107</Characters>
  <Application>Microsoft Office Word</Application>
  <DocSecurity>0</DocSecurity>
  <Lines>125</Lines>
  <Paragraphs>35</Paragraphs>
  <ScaleCrop>false</ScaleCrop>
  <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Stronger</dc:creator>
  <cp:lastModifiedBy>范 丽爽</cp:lastModifiedBy>
  <cp:revision>16</cp:revision>
  <dcterms:created xsi:type="dcterms:W3CDTF">2022-04-20T07:28:00Z</dcterms:created>
  <dcterms:modified xsi:type="dcterms:W3CDTF">2022-04-24T04:50:00Z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F757706BC51C4AC5AE10E41557C8DC8D</vt:lpwstr>
  </property>
</Properties>
</file>